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Intake and Access Family Violence. 38033</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s://providers.dffh.vic.gov.au/human-services-standards-policy" TargetMode="External"/>
<Relationship Id="rId12" Type="http://schemas.openxmlformats.org/officeDocument/2006/relationships/hyperlink" Target="https://providers.dhhs.vic.gov.au/family-violence-referral-protocol-between-dhhs-family-safety-victoria-and-department-justice-and" TargetMode="External"/>
<Relationship Id="rId13" Type="http://schemas.openxmlformats.org/officeDocument/2006/relationships/hyperlink" Target="https://safeandequal.org.au/working-in-family-violence/service-responses/specialist-family-violence-services/the-code-of-practice/" TargetMode="External"/>
<Relationship Id="rId14" Type="http://schemas.openxmlformats.org/officeDocument/2006/relationships/hyperlink" Target="https://fac.dffh.vic.gov.au/" TargetMode="External"/>
<Relationship Id="rId15" Type="http://schemas.openxmlformats.org/officeDocument/2006/relationships/hyperlink" Target="http://providers.dffh.vic.gov.au/families-fairness-housing-health-activity-search" TargetMode="External"/>
<Relationship Id="rId16"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00" w:line="288" w:lineRule="auto"/>
        <w:ind w:left="-699"/>
        <w:rPr/>
      </w:pPr>
      <w:r>
        <w:rPr>
          <w:noProof/>
        </w:rPr>
        <w:drawing>
          <wp:inline distT="0" distB="0" distL="0" distR="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Intake and Access Family Violence.</w:t>
            </w:r>
          </w:p>
          <w:p>
            <w:pPr>
              <w:spacing w:line="560" w:lineRule="atLeast"/>
              <w:rPr>
                <w:rFonts w:ascii="Arial" w:hAnsi="Arial" w:eastAsia="Arial" w:cs="Arial"/>
                <w:color w:val="201547"/>
                <w:sz w:val="44"/>
              </w:rPr>
            </w:pPr>
            <w:r>
              <w:rPr>
                <w:rFonts w:ascii="Arial" w:hAnsi="Arial" w:eastAsia="Arial" w:cs="Arial"/>
                <w:color w:val="201547"/>
                <w:sz w:val="44"/>
              </w:rPr>
              <w:t>38033</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safe and secure</w:t>
            </w:r>
          </w:p>
          <w:p>
            <w:pPr>
              <w:spacing w:after="120"/>
              <w:rPr>
                <w:rFonts w:ascii="Arial" w:hAnsi="Arial" w:eastAsia="Arial" w:cs="Arial"/>
                <w:color w:val="201547"/>
                <w:sz w:val="28"/>
              </w:rPr>
            </w:pPr>
            <w:r>
              <w:rPr>
                <w:rFonts w:ascii="Arial" w:hAnsi="Arial" w:eastAsia="Arial" w:cs="Arial"/>
                <w:color w:val="201547"/>
                <w:sz w:val="28"/>
              </w:rPr>
              <w:t>Output group: Family Violence Service Delivery</w:t>
            </w:r>
          </w:p>
          <w:p>
            <w:pPr>
              <w:spacing w:after="120"/>
              <w:rPr>
                <w:rFonts w:ascii="Arial" w:hAnsi="Arial" w:eastAsia="Arial" w:cs="Arial"/>
                <w:color w:val="201547"/>
                <w:sz w:val="28"/>
              </w:rPr>
            </w:pPr>
            <w:r>
              <w:rPr>
                <w:rFonts w:ascii="Arial" w:hAnsi="Arial" w:eastAsia="Arial" w:cs="Arial"/>
                <w:color w:val="201547"/>
                <w:sz w:val="28"/>
              </w:rPr>
              <w:t>Output: Family Violence Service Delivery</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 xml:space="preserve">Family violence intake and access services are focused on ensuring clients have access to the information and support they need to stay safe and recover from their experience of family violence. This includes ensuring services are accessible 24 hours a day, 7 days a week (24/7) across the state. </w:t>
      </w:r>
      <w:r>
        <w:br/>
      </w:r>
      <w:r>
        <w:rPr>
          <w:rFonts w:ascii="Arial" w:hAnsi="Arial" w:eastAsia="Arial" w:cs="Arial"/>
          <w:color w:val="000000"/>
          <w:sz w:val="20"/>
        </w:rPr>
        <w:t>These services aim to assess and manage family violence risk, including triaging clients and coordinating associated crisis responses.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 xml:space="preserve">Family violence intake and access services respond to calls, referrals (including L17 referrals) and other modes of contact from or related to victim survivors of family violence. These services aim to assess and manage family violence risk, including triaging clients and coordinating associated crisis responses. </w:t>
      </w:r>
      <w:r>
        <w:br/>
      </w:r>
      <w:r>
        <w:rPr>
          <w:rFonts w:ascii="Arial" w:hAnsi="Arial" w:eastAsia="Arial" w:cs="Arial"/>
          <w:color w:val="000000"/>
          <w:sz w:val="20"/>
        </w:rPr>
        <w:t>The nature, intensity and duration of the service response is tailored to the client’s risks and needs and may include one or a combination of the following:</w:t>
      </w:r>
      <w:r>
        <w:br/>
      </w:r>
      <w:r>
        <w:rPr>
          <w:rFonts w:ascii="Arial" w:hAnsi="Arial" w:eastAsia="Arial" w:cs="Arial"/>
          <w:color w:val="000000"/>
          <w:sz w:val="20"/>
        </w:rPr>
        <w:t>•	information and advice (including to families, the community and other professionals)</w:t>
      </w:r>
      <w:r>
        <w:br/>
      </w:r>
      <w:r>
        <w:rPr>
          <w:rFonts w:ascii="Arial" w:hAnsi="Arial" w:eastAsia="Arial" w:cs="Arial"/>
          <w:color w:val="000000"/>
          <w:sz w:val="20"/>
        </w:rPr>
        <w:t>•	risk and need assessments</w:t>
      </w:r>
      <w:r>
        <w:br/>
      </w:r>
      <w:r>
        <w:rPr>
          <w:rFonts w:ascii="Arial" w:hAnsi="Arial" w:eastAsia="Arial" w:cs="Arial"/>
          <w:color w:val="000000"/>
          <w:sz w:val="20"/>
        </w:rPr>
        <w:t>•	development of safety plans</w:t>
      </w:r>
      <w:r>
        <w:br/>
      </w:r>
      <w:r>
        <w:rPr>
          <w:rFonts w:ascii="Arial" w:hAnsi="Arial" w:eastAsia="Arial" w:cs="Arial"/>
          <w:color w:val="000000"/>
          <w:sz w:val="20"/>
        </w:rPr>
        <w:t>•	coordination of crisis responses</w:t>
      </w:r>
      <w:r>
        <w:br/>
      </w:r>
      <w:r>
        <w:rPr>
          <w:rFonts w:ascii="Arial" w:hAnsi="Arial" w:eastAsia="Arial" w:cs="Arial"/>
          <w:color w:val="000000"/>
          <w:sz w:val="20"/>
        </w:rPr>
        <w:t>•	referral to appropriate services for further support.</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 Client Facing</w:t>
      </w:r>
      <w:r>
        <w:br/>
      </w:r>
      <w:r>
        <w:rPr>
          <w:rFonts w:ascii="Arial" w:hAnsi="Arial" w:eastAsia="Arial" w:cs="Arial"/>
          <w:color w:val="000000"/>
          <w:sz w:val="20"/>
        </w:rPr>
        <w:t>•    This is a client facing activity.</w:t>
      </w:r>
      <w:r>
        <w:br/>
      </w:r>
      <w:r>
        <w:rPr>
          <w:rFonts w:ascii="Arial" w:hAnsi="Arial" w:eastAsia="Arial" w:cs="Arial"/>
          <w:color w:val="000000"/>
          <w:sz w:val="20"/>
        </w:rPr>
        <w:t xml:space="preserve">•    The target client group for these services are victim survivors of family violence. </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numPr>
          <w:ilvl w:val="0"/>
          <w:numId w:val="7"/>
        </w:numPr>
        <w:spacing w:after="40" w:line="270" w:lineRule="atLeast"/>
        <w:rPr>
          <w:rFonts w:ascii="Arial" w:hAnsi="Arial" w:eastAsia="Arial" w:cs="Arial"/>
          <w:b/>
          <w:bCs/>
          <w:color w:val="000000"/>
          <w:sz w:val="20"/>
        </w:rPr>
      </w:pPr>
      <w:r>
        <w:rPr>
          <w:rFonts w:ascii="Arial" w:hAnsi="Arial" w:eastAsia="Arial" w:cs="Arial"/>
          <w:color w:val="000000"/>
          <w:sz w:val="20"/>
        </w:rPr>
        <w:t>Independent review and accreditation against the department’s Human Services Standards, unless exempted.</w:t>
      </w:r>
      <w:r>
        <w:rPr>
          <w:rFonts w:ascii="Arial" w:hAnsi="Arial" w:eastAsia="Arial" w:cs="Arial"/>
          <w:b/>
          <w:bCs/>
          <w:color w:val="000000"/>
          <w:sz w:val="20"/>
        </w:rPr>
        <w:t xml:space="preserve"> </w:t>
      </w:r>
    </w:p>
    <w:p>
      <w:pPr>
        <w:numPr>
          <w:ilvl w:val="0"/>
          <w:numId w:val="7"/>
        </w:numPr>
        <w:spacing w:after="40" w:line="270" w:lineRule="atLeast"/>
        <w:rPr>
          <w:rFonts w:ascii="Arial" w:hAnsi="Arial" w:eastAsia="Arial" w:cs="Arial"/>
          <w:color w:val="000000"/>
          <w:sz w:val="20"/>
        </w:rPr>
      </w:pPr>
      <w:r>
        <w:rPr>
          <w:rFonts w:ascii="Arial" w:hAnsi="Arial" w:eastAsia="Arial" w:cs="Arial"/>
          <w:color w:val="000000"/>
          <w:sz w:val="20"/>
        </w:rPr>
        <w:t>Registration under the Children, Youth and Families Act 2005</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Human Services Standards policy</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&lt;https://providers.dffh.vic.gov.au/human-services-standards-policy&gt;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Family Violence referral protocol between DHHS,Family Safety Victoria and Department of Justice and Regulation and Victoria Police 2018</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&lt;https://providers.dhhs.vic.gov.au/family-violence-referral-protocol-between-dhhs-family-safety-victoria-and-department-justice-and&gt;</w:t>
      </w:r>
    </w:p>
    <w:p>
      <w:pPr>
        <w:numPr>
          <w:ilvl w:val="0"/>
          <w:numId w:val="7"/>
        </w:numPr>
        <w:spacing w:after="40" w:line="270" w:lineRule="atLeast"/>
        <w:rPr>
          <w:rFonts w:ascii="Arial" w:hAnsi="Arial" w:eastAsia="Arial" w:cs="Arial"/>
          <w:color w:val="3366FF"/>
          <w:sz w:val="20"/>
        </w:rPr>
      </w:pPr>
      <w:hyperlink r:id="rId13" w:tgtFrame="_blank" w:history="1">
        <w:r>
          <w:rPr>
            <w:rFonts w:ascii="Arial" w:hAnsi="Arial" w:eastAsia="Arial" w:cs="Arial"/>
            <w:color w:val="3366FF"/>
            <w:sz w:val="20"/>
          </w:rPr>
          <w:t>Code of Practice: Principles and Standards for Specialist Family Violence Services for Victim-Survivors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&lt;https://safeandequal.org.au/working-in-family-violence/service-responses/specialist-family-violence-services/the-code-of-practice/&gt;</w:t>
      </w:r>
    </w:p>
    <w:p>
      <w:pPr>
        <w:numPr>
          <w:ilvl w:val="0"/>
          <w:numId w:val="7"/>
        </w:numPr>
        <w:spacing w:after="40" w:line="270" w:lineRule="atLeast"/>
        <w:rPr>
          <w:rFonts w:ascii="Arial" w:hAnsi="Arial" w:eastAsia="Arial" w:cs="Arial"/>
          <w:color w:val="3366FF"/>
          <w:sz w:val="20"/>
        </w:rPr>
      </w:pPr>
      <w:hyperlink r:id="rId14" w:tgtFrame="_blank" w:history="1">
        <w:r>
          <w:rPr>
            <w:rFonts w:ascii="Arial" w:hAnsi="Arial" w:eastAsia="Arial" w:cs="Arial"/>
            <w:color w:val="3366FF"/>
            <w:sz w:val="20"/>
          </w:rPr>
          <w:t>Case management program requirements and crisis model for specialist family violence service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&lt;https://fac.dffh.vic.gov.au/&gt;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Number of responses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new responses to contacts or calls.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number of new responses to calls, referrals and other modes of contact during the reporting period.</w:t>
            </w:r>
            <w:r>
              <w:br/>
            </w:r>
            <w:r>
              <w:rPr>
                <w:rFonts w:ascii="Arial" w:hAnsi="Arial" w:eastAsia="Arial" w:cs="Arial"/>
                <w:color w:val="000000"/>
                <w:sz w:val="20"/>
              </w:rPr>
              <w:t>A client can receive more than one response in a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Specialist Homelessness Services Collection</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Responses Data Collection</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 new response means a new service response to calls, referrals (including L17 referrals) and other modes of contact including email and online messaging services from or related to victim survivors of family violence. </w:t>
            </w:r>
            <w:r>
              <w:br/>
            </w:r>
            <w:r>
              <w:rPr>
                <w:rFonts w:ascii="Arial" w:hAnsi="Arial" w:eastAsia="Arial" w:cs="Arial"/>
                <w:color w:val="000000"/>
                <w:sz w:val="20"/>
              </w:rPr>
              <w:t>A service response is tailored to the client’s risks and needs and may include one or a combination of the following:</w:t>
            </w:r>
            <w:r>
              <w:br/>
            </w:r>
            <w:r>
              <w:rPr>
                <w:rFonts w:ascii="Arial" w:hAnsi="Arial" w:eastAsia="Arial" w:cs="Arial"/>
                <w:color w:val="000000"/>
                <w:sz w:val="20"/>
              </w:rPr>
              <w:t>•	information and advice (including to families, the community and other professionals)</w:t>
            </w:r>
            <w:r>
              <w:br/>
            </w:r>
            <w:r>
              <w:rPr>
                <w:rFonts w:ascii="Arial" w:hAnsi="Arial" w:eastAsia="Arial" w:cs="Arial"/>
                <w:color w:val="000000"/>
                <w:sz w:val="20"/>
              </w:rPr>
              <w:t>•	risk and need assessments</w:t>
            </w:r>
            <w:r>
              <w:br/>
            </w:r>
            <w:r>
              <w:rPr>
                <w:rFonts w:ascii="Arial" w:hAnsi="Arial" w:eastAsia="Arial" w:cs="Arial"/>
                <w:color w:val="000000"/>
                <w:sz w:val="20"/>
              </w:rPr>
              <w:t>•	development of safety plans</w:t>
            </w:r>
            <w:r>
              <w:br/>
            </w:r>
            <w:r>
              <w:rPr>
                <w:rFonts w:ascii="Arial" w:hAnsi="Arial" w:eastAsia="Arial" w:cs="Arial"/>
                <w:color w:val="000000"/>
                <w:sz w:val="20"/>
              </w:rPr>
              <w:t>•	coordination of crisis responses</w:t>
            </w:r>
            <w:r>
              <w:br/>
            </w:r>
            <w:r>
              <w:rPr>
                <w:rFonts w:ascii="Arial" w:hAnsi="Arial" w:eastAsia="Arial" w:cs="Arial"/>
                <w:color w:val="000000"/>
                <w:sz w:val="20"/>
              </w:rPr>
              <w:t>•	referral to appropriate services for further support.</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Specialist Homelessness Services Collection</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SHIP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Specialist homelessness services collection (SHSC)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Service Delivery Tracking (SDT)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My Agency/SAM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SAMS/Service delivery tracking data set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Responses Data Collection</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Dashboard report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111" w:type="dxa"/>
        <w:tblLayout w:type="fixed"/>
        <w:tblCellMar>
          <w:left w:w="0" w:type="dxa"/>
          <w:right w:w="0" w:type="dxa"/>
        </w:tblCellMar>
      </w:tblPr>
      <w:tblGrid>
        <w:gridCol w:w="10204"/>
      </w:tblGrid>
      <w:tr>
        <w:trPr>
          <w:cantSplit/>
        </w:trPr>
        <w:tc>
          <w:tcPr>
            <w:tcW w:w="10204"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 xml:space="preserve">To receive this publication in an accessible format, email </w:t>
            </w:r>
            <w:r>
              <w:rPr>
                <w:rFonts w:ascii="Arial" w:hAnsi="Arial" w:eastAsia="Arial" w:cs="Arial"/>
                <w:color w:val="3366FF"/>
                <w:sz w:val="24"/>
              </w:rPr>
              <w:t>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Authorised and published by the Victorian Government, 1 Treasury Place, Melbourne.</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 State of Victoria, Australia, Department of Families, Fairness and Housing, </w:t>
            </w:r>
            <w:r>
              <w:rPr>
                <w:rFonts w:ascii="Arial" w:hAnsi="Arial" w:eastAsia="Arial" w:cs="Arial"/>
                <w:color w:val="000000"/>
                <w:sz w:val="16"/>
              </w:rPr>
              <w:t>July 2022</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2653-0929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5"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692"/>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692" w:type="dxa"/>
          <w:shd w:val="clear" w:color="auto" w:fill="FFFFFF"/>
        </w:tcPr>
        <w:p>
          <w:pPr>
            <w:tabs>
              <w:tab w:val="right" w:pos="10314"/>
            </w:tabs>
            <w:spacing w:before="240"/>
            <w:ind w:left="108"/>
            <w:jc w:val="center"/>
            <w:rPr>
              <w:rFonts w:ascii="Arial" w:hAnsi="Arial" w:eastAsia="Arial" w:cs="Arial"/>
              <w:color w:val="000000"/>
              <w:sz w:val="18"/>
            </w:rPr>
          </w:pPr>
          <w:r>
            <w:rPr>
              <w:rFonts w:ascii="Arial" w:hAnsi="Arial" w:eastAsia="Arial" w:cs="Arial"/>
              <w:color w:val="000000"/>
              <w:sz w:val="18"/>
            </w:rPr>
            <w:t xml:space="preserve">             </w:t>
          </w:r>
        </w:p>
        <w:p>
          <w:pPr>
            <w:tabs>
              <w:tab w:val="right" w:pos="10314"/>
            </w:tabs>
            <w:spacing w:before="240"/>
            <w:ind w:left="108"/>
            <w:jc w:val="center"/>
            <w:rPr/>
          </w:pPr>
          <w:r>
            <w:rPr>
              <w:noProof/>
            </w:rPr>
            <w:drawing>
              <wp:inline distT="0" distB="0" distL="0" distR="0">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3"/>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3" w:type="dxa"/>
          <w:shd w:val="clear" w:color="auto" w:fill="FFFFFF"/>
        </w:tcPr>
        <w:p>
          <w:pPr>
            <w:tabs>
              <w:tab w:val="right" w:pos="10314"/>
            </w:tabs>
            <w:spacing w:before="240"/>
            <w:ind w:left="108"/>
            <w:jc w:val="center"/>
            <w:rPr/>
          </w:pPr>
          <w:r>
            <w:rPr>
              <w:noProof/>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Family Violence Service Delivery 38033 Intake and Access Family Violence.</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