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policy@dhhs.vic.gov.au"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health.vic.gov.au/maternal-child-health/maternal-and-child-health-service-framewor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file:/F:/Oracle/Middleware/Oracle_Home/user_projects/domains/bi/www.legislation.vic.gov.au" TargetMode="External"/><Relationship Id="rId5" Type="http://schemas.openxmlformats.org/officeDocument/2006/relationships/theme" Target="theme/theme1.xml"/><Relationship Id="rId1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hyperlink" Target="http://providers.dffh.vic.gov.au/families-fairness-housing-health-activity-search"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FB3E873-F6C6-418C-B4FD-20FEF8D7D4F6}"/>
</file>

<file path=customXml/itemProps2.xml><?xml version="1.0" encoding="utf-8"?>
<ds:datastoreItem xmlns:ds="http://schemas.openxmlformats.org/officeDocument/2006/customXml" ds:itemID="{80766F02-2F0A-435A-BB15-EEC02887D57E}"/>
</file>

<file path=customXml/itemProps3.xml><?xml version="1.0" encoding="utf-8"?>
<ds:datastoreItem xmlns:ds="http://schemas.openxmlformats.org/officeDocument/2006/customXml" ds:itemID="{BB438F51-5DA9-4637-B105-6003AB55113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Universal Maternal and Child Health Program 28204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Universal Maternal and Child Health Program</w:t>
            </w:r>
          </w:p>
          <w:p>
            <w:pPr>
              <w:spacing w:line="560" w:lineRule="atLeast"/>
              <w:rPr>
                <w:rFonts w:ascii="Arial" w:hAnsi="Arial" w:eastAsia="Arial" w:cs="Arial"/>
                <w:color w:val="201547"/>
                <w:sz w:val="44"/>
              </w:rPr>
            </w:pPr>
            <w:r>
              <w:rPr>
                <w:rFonts w:ascii="Arial" w:hAnsi="Arial" w:eastAsia="Arial" w:cs="Arial"/>
                <w:color w:val="201547"/>
                <w:sz w:val="44"/>
              </w:rPr>
              <w:t>28204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Maternal and Child Health and Parenting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Universal Maternal and Child Health (UMCH) program aims to promote health, wellbeing, safety, learning and developmental outcomes for children and their families, providing a holistic approach to the physical, emotional, and social factors affecting families in contemporary communities.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UMCH program delivers a free, universally accessible, statewide service for all families with children from birth to school age. The program supports children, mothers, fathers, carers and families with an emphasis on health promotion, prevention, parenting, developmental assessment, early detection and referral and social support. It also provides a platform for identifying children and families who require further assessment, intervention, referral, and support and brings families together to foster social networks and strengthens community connections though the flexible service capacity. The program includes:</w:t>
      </w:r>
      <w:r>
        <w:br/>
      </w:r>
      <w:r>
        <w:rPr>
          <w:rFonts w:ascii="Arial" w:hAnsi="Arial" w:eastAsia="Arial" w:cs="Arial"/>
          <w:color w:val="000000"/>
          <w:sz w:val="20"/>
        </w:rPr>
        <w:t>• Universal delivery of 10 key age and stages (KAS) for all Victorian children and their families</w:t>
      </w:r>
      <w:r>
        <w:br/>
      </w:r>
      <w:r>
        <w:rPr>
          <w:rFonts w:ascii="Arial" w:hAnsi="Arial" w:eastAsia="Arial" w:cs="Arial"/>
          <w:color w:val="000000"/>
          <w:sz w:val="20"/>
        </w:rPr>
        <w:t>• Flexibly delivered services which include additional consultations, telephone consultations, group sessions, and community strengthening activities</w:t>
      </w:r>
      <w:r>
        <w:br/>
      </w:r>
      <w:r>
        <w:rPr>
          <w:rFonts w:ascii="Arial" w:hAnsi="Arial" w:eastAsia="Arial" w:cs="Arial"/>
          <w:color w:val="000000"/>
          <w:sz w:val="20"/>
        </w:rPr>
        <w:t>• Additional family consultations to address issues and concerns around family violence</w:t>
      </w:r>
      <w:r>
        <w:br/>
      </w:r>
      <w:r>
        <w:rPr>
          <w:rFonts w:ascii="Arial" w:hAnsi="Arial" w:eastAsia="Arial" w:cs="Arial"/>
          <w:color w:val="000000"/>
          <w:sz w:val="20"/>
        </w:rPr>
        <w:t>• Sleep and Settling focussed information sessions (previously activity 28213)</w:t>
      </w:r>
      <w:r>
        <w:br/>
      </w:r>
      <w:r>
        <w:rPr>
          <w:rFonts w:ascii="Arial" w:hAnsi="Arial" w:eastAsia="Arial" w:cs="Arial"/>
          <w:color w:val="000000"/>
          <w:sz w:val="20"/>
        </w:rPr>
        <w:t>• Sleep and Settling outreach consultations (previously activity 28213)</w:t>
      </w:r>
      <w:r>
        <w:br/>
      </w:r>
      <w:r>
        <w:rPr>
          <w:rFonts w:ascii="Arial" w:hAnsi="Arial" w:eastAsia="Arial" w:cs="Arial"/>
          <w:color w:val="000000"/>
          <w:sz w:val="20"/>
        </w:rPr>
        <w:t xml:space="preserve">The UMCH program is provided in partnership with the Municipal Association of Victoria (MAV). A Memorandum of Understanding sets out agreed principles to guide the planning, funding, and provision of the MCH service. Some elements of the program are jointly funded between local government and the Department of Health (the Department), and others are fully funded by the department.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 are all Victorian families with children aged from birth to school entry.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Acts and Statutory Rules are available from the Victorian Legislation and Parliamentary Documents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&lt;www.legislation.vic.gov.au&gt;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The MCH Service Framework incorporates guides, standards and service guidelines. Documents are available from the department’s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&lt;https://www.health.vic.gov.au/maternal-child-health/maternal-and-child-health-service-framework&gt;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Percentage of infants enrolled from birth notices received within current financial year</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is successfully enrolling newborn children in their catchment area for universal service.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99</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Number of infants enrolled from birth notifications divided by</w:t>
            </w:r>
            <w:r>
              <w:br/>
            </w:r>
            <w:r>
              <w:rPr>
                <w:rFonts w:ascii="Arial" w:hAnsi="Arial" w:eastAsia="Arial" w:cs="Arial"/>
                <w:color w:val="000000"/>
                <w:sz w:val="20"/>
              </w:rPr>
              <w:t xml:space="preserve">Total birth notifications (excluding stillborn children; children deceased within one month)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Annual report data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MCH data toolkit provides definitions to terms utilised by the department for the collection of MCH data (Appendix E: Maternal Child Health Service Guidelines).</w:t>
            </w:r>
            <w:r>
              <w:br/>
            </w:r>
            <w:r>
              <w:rPr>
                <w:rFonts w:ascii="Arial" w:hAnsi="Arial" w:eastAsia="Arial" w:cs="Arial"/>
                <w:color w:val="000000"/>
                <w:sz w:val="20"/>
              </w:rPr>
              <w:t>This includes information on the definition of a birth notification</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Provision of a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reports provide valuable information such as birth notification rates, enrolment and non-enrolment, participation rates in the KAS consultations, Aboriginal participation, counselling and referral activities, and breastfeeding rates.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reports are provided every financial year, in July for the period ending the previous month.</w:t>
            </w:r>
            <w:r>
              <w:br/>
            </w:r>
            <w:r>
              <w:rPr>
                <w:rFonts w:ascii="Arial" w:hAnsi="Arial" w:eastAsia="Arial" w:cs="Arial"/>
                <w:color w:val="000000"/>
                <w:sz w:val="20"/>
              </w:rPr>
              <w:t>The reports provide a range of quantitative service delivery information on KAS consultations, flexibly delivered services, additional family consultations, Sleep and Settling focussed information sessions, Sleep and Settling outreach consultations, Interface council support and additional support activities.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Annual report data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MCH data toolkit provides definitions to terms utilised by the department for the collection of MCH data (Appendix E: Maternal Child Health Service Guidelines).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service hours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calculate funding as per the MCH funding model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sessions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calculate funding as per the MCH funding model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 data</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Various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&lt;sapolicy@dhhs.vic.gov.au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28204 Universal Maternal and Child Health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