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ACCO Services - Mental Health 15099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file:/F:/Oracle/Middleware/Oracle_Home/user_projects/domains/bi" TargetMode="External"/>
<Relationship Id="rId12" Type="http://schemas.openxmlformats.org/officeDocument/2006/relationships/hyperlink" Target="mailto:sapolicy@dhhs.vic.gov.au" TargetMode="External"/>
<Relationship Id="rId13" Type="http://schemas.openxmlformats.org/officeDocument/2006/relationships/hyperlink" Target="http://providers.dffh.vic.gov.au/families-fairness-housing-health-activity-search" TargetMode="External"/>
<Relationship Id="rId14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728"/>
        </w:tabs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jc w:val="center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ACCO Services - Mental Health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15099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healthy and well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Mental Health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Mental Health Community Support Services (MCSS)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To develop and deliver culturally competent services and responses.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Funding for mental health services provided by Aboriginal community-controlled organisations to enable culturally safe mental health service provision.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-     Client Facing</w:t>
      </w:r>
      <w:r>
        <w:br/>
      </w:r>
      <w:r>
        <w:rPr>
          <w:rFonts w:ascii="Arial" w:hAnsi="Arial" w:eastAsia="Arial" w:cs="Arial"/>
          <w:color w:val="000000"/>
          <w:sz w:val="20"/>
        </w:rPr>
        <w:t>The client group this activity is targeted towards Aboriginal people living with a mental illness.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spacing w:after="40"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N/A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-   Program requirements are negotiated individually with each provider before program/project commencement.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the performance measure is to count the number of Aboriginal clients receiving a service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 Non-cumulative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 service is considered to have been received if a client has been provided with an in-depth phone conversation or a face-to face meeting in which information, support or advice was given, or where an assessment or referral has taken place.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Services Provider Report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Services and programs that have as their primary client an Aboriginal person with a mental illness.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A client is someone who has been assessed as eligible to receive support by the service.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Services Provider Report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Report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As Required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</w:tblPr>
      <w:tblGrid>
        <w:gridCol w:w="10312"/>
      </w:tblGrid>
      <w:tr>
        <w:trPr>
          <w:cantSplit/>
        </w:trPr>
        <w:tc>
          <w:tcPr>
            <w:tcW w:w="1031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Service Agreement Strategy and Practice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 </w:t>
            </w:r>
            <w:hyperlink r:id="rId12" w:tgtFrame="_blank" w:history="1">
              <w:r>
                <w:rPr>
                  <w:rFonts w:ascii="Arial" w:hAnsi="Arial" w:eastAsia="Arial" w:cs="Arial"/>
                  <w:color w:val="3366FF"/>
                  <w:sz w:val="24"/>
                </w:rPr>
                <w:t>&lt;sapolicy@dhhs.vic.gov.au</w:t>
              </w:r>
            </w:hyperlink>
            <w:r>
              <w:rPr>
                <w:rFonts w:ascii="Arial" w:hAnsi="Arial" w:eastAsia="Arial" w:cs="Arial"/>
                <w:color w:val="000000"/>
                <w:sz w:val="24"/>
              </w:rPr>
              <w:t>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</w:t>
            </w:r>
            <w:r>
              <w:rPr>
                <w:rFonts w:ascii="Arial" w:hAnsi="Arial" w:eastAsia="Arial" w:cs="Arial"/>
                <w:color w:val="000000"/>
                <w:sz w:val="16"/>
              </w:rPr>
              <w:t>January 2022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2653-0937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3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111" w:type="dxa"/>
      <w:tblLayout w:type="fixed"/>
      <w:tblCellMar>
        <w:left w:w="0" w:type="dxa"/>
        <w:right w:w="0" w:type="dxa"/>
      </w:tblCellMar>
    </w:tblPr>
    <w:tblGrid>
      <w:gridCol w:w="3185"/>
      <w:gridCol w:w="3473"/>
      <w:gridCol w:w="3474"/>
    </w:tblGrid>
    <w:tr>
      <w:tc>
        <w:tcPr>
          <w:tcW w:w="3185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1" w:type="dxa"/>
      <w:tblLayout w:type="fixed"/>
      <w:tblCellMar>
        <w:left w:w="0" w:type="dxa"/>
        <w:right w:w="0" w:type="dxa"/>
      </w:tblCellMar>
    </w:tblPr>
    <w:tblGrid>
      <w:gridCol w:w="3185"/>
      <w:gridCol w:w="3473"/>
      <w:gridCol w:w="3474"/>
    </w:tblGrid>
    <w:tr>
      <w:tc>
        <w:tcPr>
          <w:tcW w:w="3185" w:type="dxa"/>
          <w:shd w:val="clear" w:color="auto" w:fill="FFFFFF"/>
        </w:tcPr>
        <w:p>
          <w:pPr>
            <w:tabs>
              <w:tab w:val="left" w:pos="318"/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</w:t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Mental Health 15099 ACCO Services - Mental Health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