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Accommodation Operations 94850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aihw.gov.au/about-our-data/our-data-collections/specialist-homelessness-services-collection" TargetMode="External"/>
<Relationship Id="rId14" Type="http://schemas.openxmlformats.org/officeDocument/2006/relationships/hyperlink" Target="https://fac.dffh.vic.gov.au/policies-and-procedures" TargetMode="External"/>
<Relationship Id="rId15" Type="http://schemas.openxmlformats.org/officeDocument/2006/relationships/hyperlink" Target="https://www.legislation.vic.gov.au/as-made/statutory-rules/residential-tenancies-regulations-2021-0" TargetMode="External"/>
<Relationship Id="rId16" Type="http://schemas.openxmlformats.org/officeDocument/2006/relationships/hyperlink" Target="https://fac.dffh.vic.gov.au/enhanced-housing-pathways-guidelines" TargetMode="External"/>
<Relationship Id="rId17" Type="http://schemas.openxmlformats.org/officeDocument/2006/relationships/hyperlink" Target="https://vahhf.org.au/wp-content/uploads/2023/09/victorian-aboriginal-housing-and-homelessness-framework_complete_26_02_20-2.pdf" TargetMode="External"/>
<Relationship Id="rId18" Type="http://schemas.openxmlformats.org/officeDocument/2006/relationships/hyperlink" Target="https://vahhf.org.au/wp-content/uploads/2023/09/Blueprint.pdf" TargetMode="External"/>
<Relationship Id="rId19" Type="http://schemas.openxmlformats.org/officeDocument/2006/relationships/hyperlink" Target="https://chp.org.au/wp-content/uploads/2022/04/Aboriginal-Homelessness-An-Aboriginal-Cultural-Safety-Framework-for-the-Specialist-Homelessness-Sector-4th-draft-with-hi-res-pic-attribution.pdf" TargetMode="External"/>
<Relationship Id="rId20" Type="http://schemas.openxmlformats.org/officeDocument/2006/relationships/hyperlink" Target="https://fac.dffh.vic.gov.au/policies-and-procedures"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Accommodation Operations</w:t>
            </w:r>
          </w:p>
          <w:p>
            <w:pPr>
              <w:spacing w:line="560" w:lineRule="atLeast"/>
              <w:rPr>
                <w:rFonts w:ascii="Arial" w:hAnsi="Arial" w:eastAsia="Arial" w:cs="Arial"/>
                <w:color w:val="201547"/>
                <w:sz w:val="44"/>
              </w:rPr>
            </w:pPr>
            <w:r>
              <w:rPr>
                <w:rFonts w:ascii="Arial" w:hAnsi="Arial" w:eastAsia="Arial" w:cs="Arial"/>
                <w:color w:val="201547"/>
                <w:sz w:val="44"/>
              </w:rPr>
              <w:t>94850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safe and well-maintained accommodation for individuals and families experiencing or at risk of homelessness staying in homelessness accommodation facilities and supportive housing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administer and maintain homelessness accommodation facilities such as crisis, studios, transitional, youth foyers (including Education First Youth Foyers) and dispersed housing.</w:t>
      </w:r>
      <w:r>
        <w:br/>
      </w:r>
      <w:r>
        <w:br/>
      </w:r>
      <w:r>
        <w:rPr>
          <w:rFonts w:ascii="Arial" w:hAnsi="Arial" w:eastAsia="Arial" w:cs="Arial"/>
          <w:color w:val="000000"/>
          <w:sz w:val="20"/>
        </w:rPr>
        <w:t xml:space="preserve">Activities include, but are not limited to: </w:t>
      </w:r>
      <w:r>
        <w:br/>
      </w:r>
      <w:r>
        <w:br/>
      </w:r>
      <w:r>
        <w:rPr>
          <w:rFonts w:ascii="Arial" w:hAnsi="Arial" w:eastAsia="Arial" w:cs="Arial"/>
          <w:color w:val="000000"/>
          <w:sz w:val="20"/>
        </w:rPr>
        <w:t>•  Property maintenance: Repairs, upgrades, and regular upkeep to ensure safe and habitable conditions.</w:t>
      </w:r>
      <w:r>
        <w:br/>
      </w:r>
      <w:r>
        <w:rPr>
          <w:rFonts w:ascii="Arial" w:hAnsi="Arial" w:eastAsia="Arial" w:cs="Arial"/>
          <w:color w:val="000000"/>
          <w:sz w:val="20"/>
        </w:rPr>
        <w:t xml:space="preserve">•  Make good costs: Restoring properties to their original condition at the end of lease agreements. </w:t>
      </w:r>
      <w:r>
        <w:br/>
      </w:r>
      <w:r>
        <w:rPr>
          <w:rFonts w:ascii="Arial" w:hAnsi="Arial" w:eastAsia="Arial" w:cs="Arial"/>
          <w:color w:val="000000"/>
          <w:sz w:val="20"/>
        </w:rPr>
        <w:t xml:space="preserve">•  Council rates: Payment of municipal charges. </w:t>
      </w:r>
      <w:r>
        <w:br/>
      </w:r>
      <w:r>
        <w:rPr>
          <w:rFonts w:ascii="Arial" w:hAnsi="Arial" w:eastAsia="Arial" w:cs="Arial"/>
          <w:color w:val="000000"/>
          <w:sz w:val="20"/>
        </w:rPr>
        <w:t xml:space="preserve">•  Commercial rent: Costs associated with leasing properties for use as accommodation. </w:t>
      </w:r>
      <w:r>
        <w:br/>
      </w:r>
      <w:r>
        <w:rPr>
          <w:rFonts w:ascii="Arial" w:hAnsi="Arial" w:eastAsia="Arial" w:cs="Arial"/>
          <w:color w:val="000000"/>
          <w:sz w:val="20"/>
        </w:rPr>
        <w:t xml:space="preserve">•  Utilities: Electricity, water, gas, and other essential service costs for the accommodation properties. </w:t>
      </w:r>
      <w:r>
        <w:br/>
      </w:r>
      <w:r>
        <w:rPr>
          <w:rFonts w:ascii="Arial" w:hAnsi="Arial" w:eastAsia="Arial" w:cs="Arial"/>
          <w:color w:val="000000"/>
          <w:sz w:val="20"/>
        </w:rPr>
        <w:t xml:space="preserve">•  Tenancy Management: overseeing and administering properties, encompassing tasks like finding renters, </w:t>
      </w:r>
      <w:r>
        <w:br/>
      </w:r>
      <w:r>
        <w:rPr>
          <w:rFonts w:ascii="Arial" w:hAnsi="Arial" w:eastAsia="Arial" w:cs="Arial"/>
          <w:color w:val="000000"/>
          <w:sz w:val="20"/>
        </w:rPr>
        <w:t xml:space="preserve">     collecting rent, managing maintenance, and ensuring compliance with tenancy laws.</w:t>
      </w:r>
      <w:r>
        <w:br/>
      </w:r>
      <w:r>
        <w:br/>
      </w:r>
      <w:r>
        <w:rPr>
          <w:rFonts w:ascii="Arial" w:hAnsi="Arial" w:eastAsia="Arial" w:cs="Arial"/>
          <w:color w:val="000000"/>
          <w:sz w:val="20"/>
        </w:rPr>
        <w:t>Activities that are not in scope:</w:t>
      </w:r>
      <w:r>
        <w:br/>
      </w:r>
      <w:r>
        <w:rPr>
          <w:rFonts w:ascii="Arial" w:hAnsi="Arial" w:eastAsia="Arial" w:cs="Arial"/>
          <w:color w:val="000000"/>
          <w:sz w:val="20"/>
        </w:rPr>
        <w:t xml:space="preserve">• Staffing and other costs attributed to providing support to clients. </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organisations who provide homeless accommodation to people who are experiencing homelessness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Residential Tenancies Regulations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&lt;https://www.legislation.vic.gov.au/as-made/statutory-rules/residential-tenancies-regulations-2021-0&gt;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Enhanced Housing Pathways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&lt;https://fac.dffh.vic.gov.au/enhanced-housing-pathways-guidelines&gt;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Homelessness Accommodation Operations Funding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amount of Homelessness Accommodation Operations funding that has been expended on accommodation facilities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Calculate the total amount of Homelessness Accommodation Operations Funding that has been expended during the reporting period. </w:t>
            </w:r>
            <w:r>
              <w:br/>
            </w:r>
            <w:r>
              <w:rPr>
                <w:rFonts w:ascii="Arial" w:hAnsi="Arial" w:eastAsia="Arial" w:cs="Arial"/>
                <w:color w:val="000000"/>
                <w:sz w:val="20"/>
              </w:rPr>
              <w:t>The amount should be exclusive of GST.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Expended funding includes all approved and committed homelessness accommodation operations funding, not just funding associated with finalised invoices.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94850 Homelessness Accommodation Operations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