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Youth Foyer 94848</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www.hanover.org.au/youth-foyer/education-first-youth-foyer-practice-framework/" TargetMode="External"/>
<Relationship Id="rId12" Type="http://schemas.openxmlformats.org/officeDocument/2006/relationships/hyperlink" Target="https://www.aihw.gov.au/about-our-data/our-data-collections/specialist-homelessness-services-collection" TargetMode="External"/>
<Relationship Id="rId13" Type="http://schemas.openxmlformats.org/officeDocument/2006/relationships/hyperlink" Target="https://fac.dffh.vic.gov.au/homelessness-services-guidelines-and-conditions-funding" TargetMode="External"/>
<Relationship Id="rId14" Type="http://schemas.openxmlformats.org/officeDocument/2006/relationships/hyperlink" Target="https://www.dffh.vic.gov.au/publications/victorias-homelessness-and-rough-sleeping-action-plan" TargetMode="External"/>
<Relationship Id="rId15" Type="http://schemas.openxmlformats.org/officeDocument/2006/relationships/hyperlink" Target="https://fac.dhhs.vic.gov.au/victorian-housing-register" TargetMode="External"/>
<Relationship Id="rId16" Type="http://schemas.openxmlformats.org/officeDocument/2006/relationships/hyperlink" Target="https://vahhf.org.au/wp-content/uploads/2023/09/victorian-aboriginal-housing-and-homelessness-framework_complete_26_02_20-2.pdf" TargetMode="External"/>
<Relationship Id="rId17" Type="http://schemas.openxmlformats.org/officeDocument/2006/relationships/hyperlink" Target="https://vahhf.org.au/wp-content/uploads/2023/09/Blueprint.pdf" TargetMode="External"/>
<Relationship Id="rId18" Type="http://schemas.openxmlformats.org/officeDocument/2006/relationships/hyperlink" Target="https://chp.org.au/wp-content/uploads/2022/04/Aboriginal-Homelessness-An-Aboriginal-Cultural-Safety-Framework-for-the-Specialist-Homelessness-Sector-4th-draft-with-hi-res-pic-attribution.pdf" TargetMode="External"/>
<Relationship Id="rId19" Type="http://schemas.openxmlformats.org/officeDocument/2006/relationships/hyperlink" Target="https://fac.dffh.vic.gov.au/sites/default/files/2020-07/11_VHR_Homeless_with_Support_operational_guideline%20June%202020.docx" TargetMode="External"/>
<Relationship Id="rId20" Type="http://schemas.openxmlformats.org/officeDocument/2006/relationships/hyperlink" Target="http://providers.dffh.vic.gov.au/families-fairness-housing-health-activity-search" TargetMode="External"/>
<Relationship Id="rId21"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Youth Foyer</w:t>
            </w:r>
          </w:p>
          <w:p>
            <w:pPr>
              <w:spacing w:line="560" w:lineRule="atLeast"/>
              <w:rPr>
                <w:rFonts w:ascii="Arial" w:hAnsi="Arial" w:eastAsia="Arial" w:cs="Arial"/>
                <w:color w:val="201547"/>
                <w:sz w:val="44"/>
              </w:rPr>
            </w:pPr>
            <w:r>
              <w:rPr>
                <w:rFonts w:ascii="Arial" w:hAnsi="Arial" w:eastAsia="Arial" w:cs="Arial"/>
                <w:color w:val="201547"/>
                <w:sz w:val="44"/>
              </w:rPr>
              <w:t>94848</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Youth Foyer activity aims to provide safe and affordable accommodation to support young people who are at risk of or experiencing homelessness to achieve sustainable education, employment, housing and community connections.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Education First Youth Foyers and Youth Foyer like services, provide case management along with accommodation and facilitates an integrated service response to: </w:t>
      </w:r>
      <w:r>
        <w:br/>
      </w:r>
      <w:r>
        <w:br/>
      </w:r>
      <w:r>
        <w:rPr>
          <w:rFonts w:ascii="Arial" w:hAnsi="Arial" w:eastAsia="Arial" w:cs="Arial"/>
          <w:color w:val="000000"/>
          <w:sz w:val="20"/>
        </w:rPr>
        <w:t xml:space="preserve">- successfully engage young people with education and training </w:t>
      </w:r>
      <w:r>
        <w:br/>
      </w:r>
      <w:r>
        <w:rPr>
          <w:rFonts w:ascii="Arial" w:hAnsi="Arial" w:eastAsia="Arial" w:cs="Arial"/>
          <w:color w:val="000000"/>
          <w:sz w:val="20"/>
        </w:rPr>
        <w:t xml:space="preserve">- develop young people’s vocational aspirations and capabilities </w:t>
      </w:r>
      <w:r>
        <w:br/>
      </w:r>
      <w:r>
        <w:rPr>
          <w:rFonts w:ascii="Arial" w:hAnsi="Arial" w:eastAsia="Arial" w:cs="Arial"/>
          <w:color w:val="000000"/>
          <w:sz w:val="20"/>
        </w:rPr>
        <w:t xml:space="preserve">- build living and interpersonal skills, and confidence </w:t>
      </w:r>
      <w:r>
        <w:br/>
      </w:r>
      <w:r>
        <w:rPr>
          <w:rFonts w:ascii="Arial" w:hAnsi="Arial" w:eastAsia="Arial" w:cs="Arial"/>
          <w:color w:val="000000"/>
          <w:sz w:val="20"/>
        </w:rPr>
        <w:t xml:space="preserve">- foster economic independence </w:t>
      </w:r>
      <w:r>
        <w:br/>
      </w:r>
      <w:r>
        <w:rPr>
          <w:rFonts w:ascii="Arial" w:hAnsi="Arial" w:eastAsia="Arial" w:cs="Arial"/>
          <w:color w:val="000000"/>
          <w:sz w:val="20"/>
        </w:rPr>
        <w:t xml:space="preserve">- develop young people’s social, familial and community connections, networks and supports </w:t>
      </w:r>
      <w:r>
        <w:br/>
      </w:r>
      <w:r>
        <w:rPr>
          <w:rFonts w:ascii="Arial" w:hAnsi="Arial" w:eastAsia="Arial" w:cs="Arial"/>
          <w:color w:val="000000"/>
          <w:sz w:val="20"/>
        </w:rPr>
        <w:t xml:space="preserve">- facilitate access to, and support engagement in, employment </w:t>
      </w:r>
      <w:r>
        <w:br/>
      </w:r>
      <w:r>
        <w:rPr>
          <w:rFonts w:ascii="Arial" w:hAnsi="Arial" w:eastAsia="Arial" w:cs="Arial"/>
          <w:color w:val="000000"/>
          <w:sz w:val="20"/>
        </w:rPr>
        <w:t xml:space="preserve">- enable a transition to stable accommodation and independent living, and </w:t>
      </w:r>
      <w:r>
        <w:br/>
      </w:r>
      <w:r>
        <w:rPr>
          <w:rFonts w:ascii="Arial" w:hAnsi="Arial" w:eastAsia="Arial" w:cs="Arial"/>
          <w:color w:val="000000"/>
          <w:sz w:val="20"/>
        </w:rPr>
        <w:t>- support young people's positive health and wellbeing.</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The target group for youth foyers is young people aged 16 to 24 years old who are experiencing, or at risk of, homelessness. </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Education First Youth Foyer Practice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&lt;http://www.hanover.org.au/youth-foyer/education-first-youth-foyer-practice-framework/&gt;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Specialist Homelessness Services Collection Resources (SHSC)</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&lt;https://www.aihw.gov.au/about-our-data/our-data-collections/specialist-homelessness-services-collection&gt;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Homelessness Services Guidelines and Conditions of Funding May 2014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&lt;https://fac.dffh.vic.gov.au/homelessness-services-guidelines-and-conditions-funding&gt;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Victoria’s Homelessness and Rough Sleeping Action Plan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&lt;https://www.dffh.vic.gov.au/publications/victorias-homelessness-and-rough-sleeping-action-plan&gt;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Further information on the Victorian Housing Register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&lt;https://fac.dhhs.vic.gov.au/victorian-housing-register&gt;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Mana-na woorn-tyeen maar-takoort- Every Aboriginal Person has a home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&lt;https://vahhf.org.au/wp-content/uploads/2023/09/victorian-aboriginal-housing-and-homelessness-framework_complete_26_02_20-2.pdf&gt;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Blueprint for an Aboriginal-Specific Homelessness System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&lt;https://vahhf.org.au/wp-content/uploads/2023/09/Blueprint.pdf&gt;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Aboriginal Homelessness: An Aboriginal Cultural Safety Framework for the Specialist Homelessness Sector</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&lt;https://chp.org.au/wp-content/uploads/2022/04/Aboriginal-Homelessness-An-Aboriginal-Cultural-Safety-Framework-for-the-Specialist-Homelessness-Sector-4th-draft-with-hi-res-pic-attribution.pdf&gt;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Homeless with Support Operational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&lt;https://fac.dffh.vic.gov.au/sites/default/files/2020-07/11_VHR_Homeless_with_Support_operational_guideline%20June%202020.docx&gt;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clients supported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count the number of clients provided with support and accommodation to achieve sustainable education, employment, housing and community connections.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clients supported in the Youth Foyer during the reporting period. </w:t>
            </w:r>
            <w:r>
              <w:br/>
            </w:r>
            <w:r>
              <w:rPr>
                <w:rFonts w:ascii="Arial" w:hAnsi="Arial" w:eastAsia="Arial" w:cs="Arial"/>
                <w:color w:val="000000"/>
                <w:sz w:val="20"/>
              </w:rPr>
              <w:t>Clients are no longer counted in this activity once they have exited the Youth Foyer.</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Specialist Homelessness Services Collection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client, for the purpose of this performance measure, is a young person or adult who receives case management and accommodation support.  </w:t>
            </w:r>
            <w:r>
              <w:br/>
            </w:r>
            <w:r>
              <w:rPr>
                <w:rFonts w:ascii="Arial" w:hAnsi="Arial" w:eastAsia="Arial" w:cs="Arial"/>
                <w:color w:val="000000"/>
                <w:sz w:val="20"/>
              </w:rPr>
              <w:t xml:space="preserve">For the purposes of this activity support refers to the provision of case management support to young people who are residents of the youth foyer.    </w:t>
            </w:r>
            <w:r>
              <w:br/>
            </w:r>
            <w:r>
              <w:br/>
            </w:r>
            <w:r>
              <w:rPr>
                <w:rFonts w:ascii="Arial" w:hAnsi="Arial" w:eastAsia="Arial" w:cs="Arial"/>
                <w:color w:val="000000"/>
                <w:sz w:val="20"/>
              </w:rPr>
              <w:t>Where support is provided, services are required to open and close a Support Period. Further information and the definition of a support period can be found in the Specialist Homelessness Services Collection Resources.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Specialist Homelessness Services Collection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SHIP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Specialist homelessness services collection provided to the Department of Families, Fairness and Housing and the Australian Institute of Health and Welfare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July 2024</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0"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94848 Youth Foyer</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