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Aboriginal Client Support 94846</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aihw.gov.au/about-our-data/our-data-collections/specialist-homelessness-services-collection" TargetMode="External"/>
<Relationship Id="rId12" Type="http://schemas.openxmlformats.org/officeDocument/2006/relationships/hyperlink" Target="https://fac.dffh.vic.gov.au/homelessness-services-guidelines-and-conditions-funding" TargetMode="External"/>
<Relationship Id="rId13" Type="http://schemas.openxmlformats.org/officeDocument/2006/relationships/hyperlink" Target="https://www.vic.gov.au/dhelk-dja-partnership-aboriginal-communities-address-family-violence" TargetMode="External"/>
<Relationship Id="rId14" Type="http://schemas.openxmlformats.org/officeDocument/2006/relationships/hyperlink" Target="https://www.dffh.vic.gov.au/publications/victorias-homelessness-and-rough-sleeping-action-plan" TargetMode="External"/>
<Relationship Id="rId15" Type="http://schemas.openxmlformats.org/officeDocument/2006/relationships/hyperlink" Target="https://fac.dhhs.vic.gov.au/victorian-housing-register" TargetMode="External"/>
<Relationship Id="rId16" Type="http://schemas.openxmlformats.org/officeDocument/2006/relationships/hyperlink" Target="https://vahhf.org.au/wp-content/uploads/2023/09/victorian-aboriginal-housing-and-homelessness-framework_complete_26_02_20-2.pdf" TargetMode="External"/>
<Relationship Id="rId17" Type="http://schemas.openxmlformats.org/officeDocument/2006/relationships/hyperlink" Target="https://vahhf.org.au/wp-content/uploads/2023/09/Blueprint.pdf" TargetMode="External"/>
<Relationship Id="rId18" Type="http://schemas.openxmlformats.org/officeDocument/2006/relationships/hyperlink" Target="https://chp.org.au/wp-content/uploads/2022/04/Aboriginal-Homelessness-An-Aboriginal-Cultural-Safety-Framework-for-the-Specialist-Homelessness-Sector-4th-draft-with-hi-res-pic-attribution.pdf" TargetMode="External"/>
<Relationship Id="rId19" Type="http://schemas.openxmlformats.org/officeDocument/2006/relationships/hyperlink" Target="https://fac.dffh.vic.gov.au/sites/default/files/2020-07/11_VHR_Homeless_with_Support_operational_guideline%20June%202020.docx" TargetMode="External"/>
<Relationship Id="rId20" Type="http://schemas.openxmlformats.org/officeDocument/2006/relationships/hyperlink" Target="http://providers.dffh.vic.gov.au/families-fairness-housing-health-activity-search" TargetMode="External"/>
<Relationship Id="rId21"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Aboriginal Client Support</w:t>
            </w:r>
          </w:p>
          <w:p>
            <w:pPr>
              <w:spacing w:line="560" w:lineRule="atLeast"/>
              <w:rPr>
                <w:rFonts w:ascii="Arial" w:hAnsi="Arial" w:eastAsia="Arial" w:cs="Arial"/>
                <w:color w:val="201547"/>
                <w:sz w:val="44"/>
              </w:rPr>
            </w:pPr>
            <w:r>
              <w:rPr>
                <w:rFonts w:ascii="Arial" w:hAnsi="Arial" w:eastAsia="Arial" w:cs="Arial"/>
                <w:color w:val="201547"/>
                <w:sz w:val="44"/>
              </w:rPr>
              <w:t>94846</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Aboriginal Client Support aims to support Aboriginal and/or Torres Strait Islander people and their families experiencing or at risk of homelessness, access culturally safe and appropriate services that meet their specific needs. This activity aims to assist Aboriginal Community Controlled Organisations (ACCOs) to enhance service delivery and support community-led responses to homelessness.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Aboriginal Client Support includes culturally appropriate, trauma informed and self-determined responses that provide tailored support to people experiencing or at risk of homelessness, their children, family, and extended family/kin.  </w:t>
      </w:r>
      <w:r>
        <w:br/>
      </w:r>
      <w:r>
        <w:br/>
      </w:r>
      <w:r>
        <w:rPr>
          <w:rFonts w:ascii="Arial" w:hAnsi="Arial" w:eastAsia="Arial" w:cs="Arial"/>
          <w:color w:val="000000"/>
          <w:sz w:val="20"/>
        </w:rPr>
        <w:t xml:space="preserve">Service responses may include initial assessment and planning, identification, triage, case management, referrals aimed at resolving an individual and/or families accommodation needs and crisis issues, as well as improving access to a range of relevant supports to secure long term safe and affordable housing. </w:t>
      </w:r>
      <w:r>
        <w:br/>
      </w:r>
      <w:r>
        <w:br/>
      </w:r>
      <w:r>
        <w:rPr>
          <w:rFonts w:ascii="Arial" w:hAnsi="Arial" w:eastAsia="Arial" w:cs="Arial"/>
          <w:color w:val="000000"/>
          <w:sz w:val="20"/>
        </w:rPr>
        <w:t>Approaches can include but are not limited to, culturally safe responses that address the social and emotional    wellbeing of Aboriginal and Torres Strait Islander people, including those which strengthen connection to Country and culture, utilising traditional practices in addition to other healing and therapeutic approaches.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is a client facing activity. Services are targeted towards people experiencing homelessness or at risk who identify as Aboriginal and/or Torres Strait Islander people (including children, family and extended family/kin) who are supported by an ACCO.</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Homelessness Services Guidelines and Conditions of Funding May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&lt;https://fac.dffh.vic.gov.au/homelessness-services-guidelines-and-conditions-funding&gt;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Dhelk Dja: Safe Our Way Strong Culture, Strong Peoples, Strong Families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&lt;https://www.vic.gov.au/dhelk-dja-partnership-aboriginal-communities-address-family-violence&gt;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&lt;https://www.dffh.vic.gov.au/publications/victorias-homelessness-and-rough-sleeping-action-plan&gt;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Further information on the Victorian Housing Register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&lt;https://fac.dhhs.vic.gov.au/victorian-housing-register&gt;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Homeless with Support Operational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&lt;https://fac.dffh.vic.gov.au/sites/default/files/2020-07/11_VHR_Homeless_with_Support_operational_guideline%20June%202020.docx&gt;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support periods - ATAR</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new support periods provided to assist people sustain their tenancy.</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new support periods during the monthly reporting period.  </w:t>
            </w:r>
            <w:r>
              <w:br/>
            </w:r>
            <w:r>
              <w:br/>
            </w:r>
            <w:r>
              <w:rPr>
                <w:rFonts w:ascii="Arial" w:hAnsi="Arial" w:eastAsia="Arial" w:cs="Arial"/>
                <w:color w:val="000000"/>
                <w:sz w:val="20"/>
              </w:rPr>
              <w:t xml:space="preserve">One support period is counted for each individual who is supported by your agency to sustain their tenancy through the Aboriginal Tenancies at Risk (ATAR) program, formerly the Indigenous Tenancies at Risk (ITAR) program.  </w:t>
            </w:r>
            <w:r>
              <w:br/>
            </w:r>
            <w:r>
              <w:br/>
            </w:r>
            <w:r>
              <w:rPr>
                <w:rFonts w:ascii="Arial" w:hAnsi="Arial" w:eastAsia="Arial" w:cs="Arial"/>
                <w:color w:val="000000"/>
                <w:sz w:val="20"/>
              </w:rPr>
              <w:t xml:space="preserve">If a client’s support period has been closed and the client presents again, this will be counted as a new support period.  </w:t>
            </w:r>
            <w:r>
              <w:br/>
            </w:r>
            <w:r>
              <w:br/>
            </w:r>
            <w:r>
              <w:rPr>
                <w:rFonts w:ascii="Arial" w:hAnsi="Arial" w:eastAsia="Arial" w:cs="Arial"/>
                <w:color w:val="000000"/>
                <w:sz w:val="20"/>
              </w:rPr>
              <w:t xml:space="preserve">Clients are counted once in a support period (noting that a support period may span across several months or longer).   </w:t>
            </w:r>
            <w:r>
              <w:br/>
            </w:r>
            <w:r>
              <w:br/>
            </w:r>
            <w:r>
              <w:rPr>
                <w:rFonts w:ascii="Arial" w:hAnsi="Arial" w:eastAsia="Arial" w:cs="Arial"/>
                <w:color w:val="000000"/>
                <w:sz w:val="20"/>
              </w:rPr>
              <w:t>Clients who are counted in this performance measure are not counted in the Number of new support periods or Number of clients supported performance measure in the same reporting month.</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support period is defined as the provision of individual client support by your agency.   </w:t>
            </w:r>
            <w:r>
              <w:br/>
            </w:r>
            <w:r>
              <w:br/>
            </w:r>
            <w:r>
              <w:rPr>
                <w:rFonts w:ascii="Arial" w:hAnsi="Arial" w:eastAsia="Arial" w:cs="Arial"/>
                <w:color w:val="000000"/>
                <w:sz w:val="20"/>
              </w:rPr>
              <w:t xml:space="preserve">A client is a person who receives a direct service from your agency. Accompanying children who receive direct services are a client.  </w:t>
            </w:r>
            <w:r>
              <w:br/>
            </w:r>
            <w:r>
              <w:br/>
            </w:r>
            <w:r>
              <w:rPr>
                <w:rFonts w:ascii="Arial" w:hAnsi="Arial" w:eastAsia="Arial" w:cs="Arial"/>
                <w:color w:val="000000"/>
                <w:sz w:val="20"/>
              </w:rPr>
              <w:t xml:space="preserve">A client’s support period starts on the day the client receives support from your agency.  </w:t>
            </w:r>
            <w:r>
              <w:br/>
            </w:r>
            <w:r>
              <w:br/>
            </w:r>
            <w:r>
              <w:rPr>
                <w:rFonts w:ascii="Arial" w:hAnsi="Arial" w:eastAsia="Arial" w:cs="Arial"/>
                <w:color w:val="000000"/>
                <w:sz w:val="20"/>
              </w:rPr>
              <w:t>Where support is provided, services are required to open and close a Support Period. Further information and the definition of a support period can be found in the in the Specialist Homelessness Services Collection Resources.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Number of clients supported (Housing First)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clients provided with long-term support (anticipated to be at least one year in duration) through a Housing First response to support Aboriginal people sleeping rough or experiencing persistent homelessness.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clients supported during the reporting period who have an open support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client may be an individual aged 16 years and over, or the head of a household of a group of two or more people, whether related by family or other relationship.  </w:t>
            </w:r>
            <w:r>
              <w:br/>
            </w:r>
            <w:r>
              <w:br/>
            </w:r>
            <w:r>
              <w:rPr>
                <w:rFonts w:ascii="Arial" w:hAnsi="Arial" w:eastAsia="Arial" w:cs="Arial"/>
                <w:color w:val="000000"/>
                <w:sz w:val="20"/>
              </w:rPr>
              <w:t xml:space="preserve">For the purposes of this performance measure, support refers to the provision of support provided through a Housing First response that is expected to be long term in nature.   </w:t>
            </w:r>
            <w:r>
              <w:br/>
            </w:r>
            <w:r>
              <w:br/>
            </w:r>
            <w:r>
              <w:rPr>
                <w:rFonts w:ascii="Arial" w:hAnsi="Arial" w:eastAsia="Arial" w:cs="Arial"/>
                <w:color w:val="000000"/>
                <w:sz w:val="20"/>
              </w:rPr>
              <w:t xml:space="preserve">An open support period during the reporting period may be a support period that is opened, closed or ongoing during the reporting period and forms part of the caseload of the program team during the reporting period.   </w:t>
            </w:r>
            <w:r>
              <w:br/>
            </w:r>
            <w:r>
              <w:br/>
            </w:r>
            <w:r>
              <w:rPr>
                <w:rFonts w:ascii="Arial" w:hAnsi="Arial" w:eastAsia="Arial" w:cs="Arial"/>
                <w:color w:val="000000"/>
                <w:sz w:val="20"/>
              </w:rPr>
              <w:t xml:space="preserve">For example, if a team is working with 8 clients during the month and one client has a new support period at the beginning of the month, and one client’s support period is closed at the end of the month, the count will be 8, as the team is working with 8 clients during the month.  </w:t>
            </w:r>
            <w:r>
              <w:br/>
            </w:r>
            <w:r>
              <w:br/>
            </w:r>
            <w:r>
              <w:rPr>
                <w:rFonts w:ascii="Arial" w:hAnsi="Arial" w:eastAsia="Arial" w:cs="Arial"/>
                <w:color w:val="000000"/>
                <w:sz w:val="20"/>
              </w:rPr>
              <w:t xml:space="preserve">Where support is provided, services are required to open and close a Support Period. Further information and the definition of a support period can be found in the Specialist Homelessness Services Collection Resources.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3: Number of new support periods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new support periods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new support periods during the monthly reporting period.  </w:t>
            </w:r>
            <w:r>
              <w:br/>
            </w:r>
            <w:r>
              <w:br/>
            </w:r>
            <w:r>
              <w:rPr>
                <w:rFonts w:ascii="Arial" w:hAnsi="Arial" w:eastAsia="Arial" w:cs="Arial"/>
                <w:color w:val="000000"/>
                <w:sz w:val="20"/>
              </w:rPr>
              <w:t xml:space="preserve">One support period is counted for each individual who is supported by your agency.  </w:t>
            </w:r>
            <w:r>
              <w:br/>
            </w:r>
            <w:r>
              <w:br/>
            </w:r>
            <w:r>
              <w:rPr>
                <w:rFonts w:ascii="Arial" w:hAnsi="Arial" w:eastAsia="Arial" w:cs="Arial"/>
                <w:color w:val="000000"/>
                <w:sz w:val="20"/>
              </w:rPr>
              <w:t xml:space="preserve">If a client’s support period has been closed and the client presents again, this will be counted as a new support period.  </w:t>
            </w:r>
            <w:r>
              <w:br/>
            </w:r>
            <w:r>
              <w:br/>
            </w:r>
            <w:r>
              <w:rPr>
                <w:rFonts w:ascii="Arial" w:hAnsi="Arial" w:eastAsia="Arial" w:cs="Arial"/>
                <w:color w:val="000000"/>
                <w:sz w:val="20"/>
              </w:rPr>
              <w:t xml:space="preserve">Clients are counted once in a support period (noting that a support period may span across several months or longer).   </w:t>
            </w:r>
            <w:r>
              <w:br/>
            </w:r>
            <w:r>
              <w:br/>
            </w:r>
            <w:r>
              <w:rPr>
                <w:rFonts w:ascii="Arial" w:hAnsi="Arial" w:eastAsia="Arial" w:cs="Arial"/>
                <w:color w:val="000000"/>
                <w:sz w:val="20"/>
              </w:rPr>
              <w:t>Clients who are counted in this performance measure are not counted in the Number of new support periods – ATAR or Number of clients supported performance measures in the same reporting month.</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support period is defined as the provision of individual client support by your agency.   </w:t>
            </w:r>
            <w:r>
              <w:br/>
            </w:r>
            <w:r>
              <w:br/>
            </w:r>
            <w:r>
              <w:rPr>
                <w:rFonts w:ascii="Arial" w:hAnsi="Arial" w:eastAsia="Arial" w:cs="Arial"/>
                <w:color w:val="000000"/>
                <w:sz w:val="20"/>
              </w:rPr>
              <w:t xml:space="preserve">A client is a person who receives a direct service from your agency. Accompanying children who receive direct services are a client.  </w:t>
            </w:r>
            <w:r>
              <w:br/>
            </w:r>
            <w:r>
              <w:br/>
            </w:r>
            <w:r>
              <w:rPr>
                <w:rFonts w:ascii="Arial" w:hAnsi="Arial" w:eastAsia="Arial" w:cs="Arial"/>
                <w:color w:val="000000"/>
                <w:sz w:val="20"/>
              </w:rPr>
              <w:t xml:space="preserve">A client’s support period starts on the day the client receives support from your agency.  </w:t>
            </w:r>
            <w:r>
              <w:br/>
            </w:r>
            <w:r>
              <w:br/>
            </w:r>
            <w:r>
              <w:rPr>
                <w:rFonts w:ascii="Arial" w:hAnsi="Arial" w:eastAsia="Arial" w:cs="Arial"/>
                <w:color w:val="000000"/>
                <w:sz w:val="20"/>
              </w:rPr>
              <w:t>Where support is provided, services are required to open and close a Support Period. Further information and the definition of a support period can be found in the Specialist Homelessness Services Collection Resources.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4: Number of new clients (initial assessment)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clients assisted with an initial assessment to address and prevent homelessness.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each new client during the reporting period.  </w:t>
            </w:r>
            <w:r>
              <w:br/>
            </w:r>
            <w:r>
              <w:rPr>
                <w:rFonts w:ascii="Arial" w:hAnsi="Arial" w:eastAsia="Arial" w:cs="Arial"/>
                <w:color w:val="000000"/>
                <w:sz w:val="20"/>
              </w:rPr>
              <w:t>A client is considered to be in receipt of a homelessness service and counted in this measure if they receive an initial assessment at an Aboriginal specific entry point, correctional facility or other site.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An initial assessment includes the provision of an initial assessment and the support provided by the initial assessment worker at an Aboriginal specific entry point, correctional facility and other sites.  </w:t>
            </w:r>
            <w:r>
              <w:br/>
            </w:r>
            <w:r>
              <w:rPr>
                <w:rFonts w:ascii="Arial" w:hAnsi="Arial" w:eastAsia="Arial" w:cs="Arial"/>
                <w:color w:val="000000"/>
                <w:sz w:val="20"/>
              </w:rPr>
              <w:t xml:space="preserve">A client is a person who receives an initial assessment from your agency. Accompanying children who receive direct services are a client.  </w:t>
            </w:r>
            <w:r>
              <w:br/>
            </w:r>
            <w:r>
              <w:rPr>
                <w:rFonts w:ascii="Arial" w:hAnsi="Arial" w:eastAsia="Arial" w:cs="Arial"/>
                <w:color w:val="000000"/>
                <w:sz w:val="20"/>
              </w:rPr>
              <w:t>A client is counted on the day the client first receives an initial assessment from your agency.</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5: Number of clients supported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count the number of clients receiving long-term support (anticipated to be at least one year in duration) to achieve long-term housing, employment, education, health, and wellbeing outcomes.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clients supported during the reporting period who have an open support period.   </w:t>
            </w:r>
            <w:r>
              <w:br/>
            </w:r>
            <w:r>
              <w:br/>
            </w:r>
            <w:r>
              <w:rPr>
                <w:rFonts w:ascii="Arial" w:hAnsi="Arial" w:eastAsia="Arial" w:cs="Arial"/>
                <w:color w:val="000000"/>
                <w:sz w:val="20"/>
              </w:rPr>
              <w:t>Clients who are counted in this performance measure are not counted in Number of new support periods – ATAR or Number of new support periods performance measure in the same reporting month.</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client may be an individual aged 16 years and over, or the head of a household of a group of two or more people, whether related by family or other relationship.  </w:t>
            </w:r>
            <w:r>
              <w:br/>
            </w:r>
            <w:r>
              <w:br/>
            </w:r>
            <w:r>
              <w:rPr>
                <w:rFonts w:ascii="Arial" w:hAnsi="Arial" w:eastAsia="Arial" w:cs="Arial"/>
                <w:color w:val="000000"/>
                <w:sz w:val="20"/>
              </w:rPr>
              <w:t xml:space="preserve">Support is defined as the provision of client support by your agency.   </w:t>
            </w:r>
            <w:r>
              <w:br/>
            </w:r>
            <w:r>
              <w:br/>
            </w:r>
            <w:r>
              <w:rPr>
                <w:rFonts w:ascii="Arial" w:hAnsi="Arial" w:eastAsia="Arial" w:cs="Arial"/>
                <w:color w:val="000000"/>
                <w:sz w:val="20"/>
              </w:rPr>
              <w:t xml:space="preserve">An open support period during the reporting period may be a support period that is opened, closed or ongoing during the reporting period.  </w:t>
            </w:r>
            <w:r>
              <w:br/>
            </w:r>
            <w:r>
              <w:br/>
            </w:r>
            <w:r>
              <w:rPr>
                <w:rFonts w:ascii="Arial" w:hAnsi="Arial" w:eastAsia="Arial" w:cs="Arial"/>
                <w:color w:val="000000"/>
                <w:sz w:val="20"/>
              </w:rPr>
              <w:t xml:space="preserve">A support period starts on the day the client first receives support from your agency.  </w:t>
            </w:r>
            <w:r>
              <w:br/>
            </w:r>
            <w:r>
              <w:br/>
            </w:r>
            <w:r>
              <w:rPr>
                <w:rFonts w:ascii="Arial" w:hAnsi="Arial" w:eastAsia="Arial" w:cs="Arial"/>
                <w:color w:val="000000"/>
                <w:sz w:val="20"/>
              </w:rPr>
              <w:t>Where support is provided, services are required to open and close a Support Period. Further information and the definition of a support period can be found in the Specialist Homelessness Services Collection Resources.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Specialist Homelessness Services Collection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SHIP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Specialist homelessness services collection provided to the Department of Families, Fairness and Housing and the Australian Institute of Health and Welfare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July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0"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94846 Aboriginal Client Support</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