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 Emergency Response - Transitional Tenancy 94843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www.housingregistrar.vic.gov.au/Publications" TargetMode="External"/>
<Relationship Id="rId12" Type="http://schemas.openxmlformats.org/officeDocument/2006/relationships/hyperlink" Target="https://www.aihw.gov.au/about-our-data/our-data-collections/specialist-homelessness-services-collection" TargetMode="External"/>
<Relationship Id="rId13" Type="http://schemas.openxmlformats.org/officeDocument/2006/relationships/hyperlink" Target="https://fac.dffh.vic.gov.au/homelessness-services-guidelines-and-conditions-funding" TargetMode="External"/>
<Relationship Id="rId14" Type="http://schemas.openxmlformats.org/officeDocument/2006/relationships/hyperlink" Target="https://www.dffh.vic.gov.au/publications/victorias-homelessness-and-rough-sleeping-action-plan" TargetMode="External"/>
<Relationship Id="rId15" Type="http://schemas.openxmlformats.org/officeDocument/2006/relationships/hyperlink" Target="https://fac.dffh.vic.gov.au/victorian-housing-register" TargetMode="External"/>
<Relationship Id="rId16" Type="http://schemas.openxmlformats.org/officeDocument/2006/relationships/hyperlink" Target="https://nrsch.gov.au/providers/guidance-and-policy.html" TargetMode="External"/>
<Relationship Id="rId17" Type="http://schemas.openxmlformats.org/officeDocument/2006/relationships/hyperlink" Target="https://providers.dffh.vic.gov.au/homelessness" TargetMode="External"/>
<Relationship Id="rId18" Type="http://schemas.openxmlformats.org/officeDocument/2006/relationships/hyperlink" Target="https://providers.dffh.vic.gov.au/homelessness" TargetMode="External"/>
<Relationship Id="rId19" Type="http://schemas.openxmlformats.org/officeDocument/2006/relationships/hyperlink" Target="https://vahhf.org.au/wp-content/uploads/2023/09/victorian-aboriginal-housing-and-homelessness-framework_complete_26_02_20-2.pdf" TargetMode="External"/>
<Relationship Id="rId20" Type="http://schemas.openxmlformats.org/officeDocument/2006/relationships/hyperlink" Target="https://vahhf.org.au/wp-content/uploads/2023/09/Blueprint.pdf" TargetMode="External"/>
<Relationship Id="rId21" Type="http://schemas.openxmlformats.org/officeDocument/2006/relationships/hyperlink" Target="https://chp.org.au/wp-content/uploads/2022/04/Aboriginal-Homelessness-An-Aboriginal-Cultural-Safety-Framework-for-the-Specialist-Homelessness-Sector-4th-draft-with-hi-res-pic-attribution.pdf" TargetMode="External"/>
<Relationship Id="rId22" Type="http://schemas.openxmlformats.org/officeDocument/2006/relationships/hyperlink" Target="https://fac.dffh.vic.gov.au/sites/default/files/2020-07/11_VHR_Homeless_with_Support_operational_guideline%20June%202020.docx" TargetMode="External"/>
<Relationship Id="rId23" Type="http://schemas.openxmlformats.org/officeDocument/2006/relationships/hyperlink" Target="https://fac.dffh.vic.gov.au/policies-and-procedures"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 Emergency Response - Transitional Tenancy</w:t>
            </w:r>
          </w:p>
          <w:p>
            <w:pPr>
              <w:spacing w:line="560" w:lineRule="atLeast"/>
              <w:rPr>
                <w:rFonts w:ascii="Arial" w:hAnsi="Arial" w:eastAsia="Arial" w:cs="Arial"/>
                <w:color w:val="201547"/>
                <w:sz w:val="44"/>
              </w:rPr>
            </w:pPr>
            <w:r>
              <w:rPr>
                <w:rFonts w:ascii="Arial" w:hAnsi="Arial" w:eastAsia="Arial" w:cs="Arial"/>
                <w:color w:val="201547"/>
                <w:sz w:val="44"/>
              </w:rPr>
              <w:t>94843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Homelessness - Emergency Response - Transitional Tenancy  aims to provide temporary housing assistance to people in crisis as a result of homelessness and ensure properties are maintained to an appropriate standard.</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Homelessness Housing and Tenancy administration includes management of both transitional housing (Director of Housing owned and leased properties) and head leased properties managed by Community Housing Providers. </w:t>
      </w:r>
      <w:r>
        <w:br/>
      </w:r>
      <w:r>
        <w:br/>
      </w:r>
      <w:r>
        <w:rPr>
          <w:rFonts w:ascii="Arial" w:hAnsi="Arial" w:eastAsia="Arial" w:cs="Arial"/>
          <w:color w:val="000000"/>
          <w:sz w:val="20"/>
        </w:rPr>
        <w:t xml:space="preserve">Transitional Housing – Transitional Housing Management (THM) provides Director of Housing owned and leased properties to transitional housing management (THM) services to manage. </w:t>
      </w:r>
      <w:r>
        <w:br/>
      </w:r>
      <w:r>
        <w:br/>
      </w:r>
      <w:r>
        <w:rPr>
          <w:rFonts w:ascii="Arial" w:hAnsi="Arial" w:eastAsia="Arial" w:cs="Arial"/>
          <w:color w:val="000000"/>
          <w:sz w:val="20"/>
        </w:rPr>
        <w:t xml:space="preserve">Head leasing – Head leasing involves the leasing of properties on the private market by housing providers under a funding and service agreement with the Department of Families, Fairness and Housing. </w:t>
      </w:r>
      <w:r>
        <w:br/>
      </w:r>
      <w:r>
        <w:br/>
      </w:r>
      <w:r>
        <w:rPr>
          <w:rFonts w:ascii="Arial" w:hAnsi="Arial" w:eastAsia="Arial" w:cs="Arial"/>
          <w:color w:val="000000"/>
          <w:sz w:val="20"/>
        </w:rPr>
        <w:t xml:space="preserve">Housing providers that head lease properties guarantee the bond and rental payments for the leased property to the landlord. The housing provider in turn sub-leases these properties to people who are at risk of or experiencing homelessness. </w:t>
      </w:r>
      <w:r>
        <w:br/>
      </w:r>
      <w:r>
        <w:br/>
      </w:r>
      <w:r>
        <w:rPr>
          <w:rFonts w:ascii="Arial" w:hAnsi="Arial" w:eastAsia="Arial" w:cs="Arial"/>
          <w:color w:val="000000"/>
          <w:sz w:val="20"/>
        </w:rPr>
        <w:t xml:space="preserve">Head leasing can be used as a rapid housing solution or a private rental access pathway, and is framed by a continuum of support from more intensive; to help a client maintain their housing while they await long term social housing options, to less intensive to provide a pathway to private rental access. </w:t>
      </w:r>
      <w:r>
        <w:br/>
      </w:r>
      <w:r>
        <w:br/>
      </w:r>
      <w:r>
        <w:rPr>
          <w:rFonts w:ascii="Arial" w:hAnsi="Arial" w:eastAsia="Arial" w:cs="Arial"/>
          <w:color w:val="000000"/>
          <w:sz w:val="20"/>
        </w:rPr>
        <w:t xml:space="preserve">General lease – A general lease refers to the arrangement where the department provides a Director of Housing owned property to a registered Community Housing Provider (CHP) to manage, with the maximum rent paid by the tenant. The CHP is responsible for asset and tenancy management of the property for the term of the agreement.  </w:t>
      </w:r>
      <w:r>
        <w:br/>
      </w:r>
      <w:r>
        <w:br/>
      </w:r>
      <w:r>
        <w:rPr>
          <w:rFonts w:ascii="Arial" w:hAnsi="Arial" w:eastAsia="Arial" w:cs="Arial"/>
          <w:color w:val="000000"/>
          <w:sz w:val="20"/>
        </w:rPr>
        <w:t xml:space="preserve">Tenancy administration-The organisation ensures properties are efficiently tenanted and maintained to an appropriate standard including furnishing new properties, arranging maintenance and refurnishing vacant properties using the property allowance component.  </w:t>
      </w:r>
      <w:r>
        <w:br/>
      </w:r>
      <w:r>
        <w:br/>
      </w:r>
      <w:r>
        <w:rPr>
          <w:rFonts w:ascii="Arial" w:hAnsi="Arial" w:eastAsia="Arial" w:cs="Arial"/>
          <w:color w:val="000000"/>
          <w:sz w:val="20"/>
        </w:rPr>
        <w:t xml:space="preserve">Funded organisations work in partnership with service providers to assist people to sustain their tenancies.  </w:t>
      </w:r>
      <w:r>
        <w:br/>
      </w:r>
      <w:r>
        <w:br/>
      </w:r>
      <w:r>
        <w:rPr>
          <w:rFonts w:ascii="Arial" w:hAnsi="Arial" w:eastAsia="Arial" w:cs="Arial"/>
          <w:color w:val="000000"/>
          <w:sz w:val="20"/>
        </w:rPr>
        <w:t xml:space="preserve">The tenancy administration functions undertaken include:   </w:t>
      </w:r>
      <w:r>
        <w:br/>
      </w:r>
      <w:r>
        <w:rPr>
          <w:rFonts w:ascii="Arial" w:hAnsi="Arial" w:eastAsia="Arial" w:cs="Arial"/>
          <w:color w:val="000000"/>
          <w:sz w:val="20"/>
        </w:rPr>
        <w:t xml:space="preserve">• ensuring that those most in need have access to housing. </w:t>
      </w:r>
      <w:r>
        <w:br/>
      </w:r>
      <w:r>
        <w:rPr>
          <w:rFonts w:ascii="Arial" w:hAnsi="Arial" w:eastAsia="Arial" w:cs="Arial"/>
          <w:color w:val="000000"/>
          <w:sz w:val="20"/>
        </w:rPr>
        <w:t xml:space="preserve">• ensuring properties are maintained to appropriate standards (for THM Director of Housing Standards as outlined in the Public Housing Policy and Practice Manuals and for head leasing). </w:t>
      </w:r>
      <w:r>
        <w:br/>
      </w:r>
      <w:r>
        <w:rPr>
          <w:rFonts w:ascii="Arial" w:hAnsi="Arial" w:eastAsia="Arial" w:cs="Arial"/>
          <w:color w:val="000000"/>
          <w:sz w:val="20"/>
        </w:rPr>
        <w:t xml:space="preserve">• working with clients to ensure their understanding on their rights, role and responsibilities as tenants. </w:t>
      </w:r>
      <w:r>
        <w:br/>
      </w:r>
      <w:r>
        <w:rPr>
          <w:rFonts w:ascii="Arial" w:hAnsi="Arial" w:eastAsia="Arial" w:cs="Arial"/>
          <w:color w:val="000000"/>
          <w:sz w:val="20"/>
        </w:rPr>
        <w:t xml:space="preserve">• assisting people in designated properties to sustain occupancies in line with the Residential Tenancy Act 1997.  </w:t>
      </w:r>
      <w:r>
        <w:br/>
      </w:r>
      <w:r>
        <w:rPr>
          <w:rFonts w:ascii="Arial" w:hAnsi="Arial" w:eastAsia="Arial" w:cs="Arial"/>
          <w:color w:val="000000"/>
          <w:sz w:val="20"/>
        </w:rPr>
        <w:t xml:space="preserve">• working collaboratively with organisations to assist people to sustain their tenancies. </w:t>
      </w:r>
      <w:r>
        <w:br/>
      </w:r>
      <w:r>
        <w:rPr>
          <w:rFonts w:ascii="Arial" w:hAnsi="Arial" w:eastAsia="Arial" w:cs="Arial"/>
          <w:color w:val="000000"/>
          <w:sz w:val="20"/>
        </w:rPr>
        <w:t xml:space="preserve">• negotiating and monitoring of tenancy/occupancy agreements. </w:t>
      </w:r>
      <w:r>
        <w:br/>
      </w:r>
      <w:r>
        <w:rPr>
          <w:rFonts w:ascii="Arial" w:hAnsi="Arial" w:eastAsia="Arial" w:cs="Arial"/>
          <w:color w:val="000000"/>
          <w:sz w:val="20"/>
        </w:rPr>
        <w:t xml:space="preserve">• collecting rent from tenants/occupants. </w:t>
      </w:r>
      <w:r>
        <w:br/>
      </w:r>
      <w:r>
        <w:br/>
      </w:r>
      <w:r>
        <w:rPr>
          <w:rFonts w:ascii="Arial" w:hAnsi="Arial" w:eastAsia="Arial" w:cs="Arial"/>
          <w:color w:val="000000"/>
          <w:sz w:val="20"/>
        </w:rPr>
        <w:t xml:space="preserve">The From Homelessness to a Home (H2H) program commenced in 2021 to provide stable medium and long-term housing and support packages to people experiencing homelessness who are residing in emergency accommodation due to the coronavirus (COVID-19) pandemic prior to 6 December 2020. </w:t>
      </w:r>
      <w:r>
        <w:br/>
      </w:r>
      <w:r>
        <w:br/>
      </w:r>
      <w:r>
        <w:rPr>
          <w:rFonts w:ascii="Arial" w:hAnsi="Arial" w:eastAsia="Arial" w:cs="Arial"/>
          <w:color w:val="000000"/>
          <w:sz w:val="20"/>
        </w:rPr>
        <w:t>The Homes for Families (H4F) program was subsequently introduced in November 2021 to support Families remaining in emergency accommodation due to the coronavirus (COVID-19) pandemic. H4F will provide access to stable medium and long-term housing and support packages as well as the safety health and wellbeing of the whole family. H4F is an integrated model, with the guidelines developed for both Housing and Family Service providers.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People who are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Housing Act 1983(Vic)</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Victorian Gazetted Performance Standards for Registered Housing Providers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&lt;http://www.housingregistrar.vic.gov.au/Publications&gt;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National Regulatory System – Community Housing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 https://nrsch.gov.au/providers/guidance-and-policy.html&gt;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From Homelessness to a Home (H2H) program guidelines - DHHS Service Providers (dffh.vic.gov.au)</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Homes For Families (H4F) program guidelines - DHHS Service Providers (dffh.vic.gov.au)</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&lt;https://providers.dffh.vic.gov.au/homelessness&gt;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tenancies - H2H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tenancies for the H2H.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total number of tenancies during the reporting period (both ongoing and new tenancies). </w:t>
            </w:r>
            <w:r>
              <w:br/>
            </w:r>
            <w:r>
              <w:rPr>
                <w:rFonts w:ascii="Arial" w:hAnsi="Arial" w:eastAsia="Arial" w:cs="Arial"/>
                <w:color w:val="000000"/>
                <w:sz w:val="20"/>
              </w:rPr>
              <w:t>Tenancies are determined using the housing services commencement date (as defined in the Program Guidelines).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H2H weekly client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tenancy is defined as the provision of a period of accommodation to a household. </w:t>
            </w:r>
            <w:r>
              <w:br/>
            </w:r>
            <w:r>
              <w:rPr>
                <w:rFonts w:ascii="Arial" w:hAnsi="Arial" w:eastAsia="Arial" w:cs="Arial"/>
                <w:color w:val="000000"/>
                <w:sz w:val="20"/>
              </w:rPr>
              <w:t>A household is defined as a person or people who present a single application for assistance. An application may include more than one person being assisted (e.g., children and couples presenting a single application for assistance are not counted separately but are counted as one household).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tenancies - H4F</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tenancies for the H4F programs.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total number of tenancies during the reporting period (both ongoing and new tenancies). </w:t>
            </w:r>
            <w:r>
              <w:br/>
            </w:r>
            <w:r>
              <w:rPr>
                <w:rFonts w:ascii="Arial" w:hAnsi="Arial" w:eastAsia="Arial" w:cs="Arial"/>
                <w:color w:val="000000"/>
                <w:sz w:val="20"/>
              </w:rPr>
              <w:t>Tenancies are determined using the housing services commencement date (as defined in the Program Guidelines).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H4F weekly client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tenancy is defined as the provision of a period of accommodation to a household. </w:t>
            </w:r>
            <w:r>
              <w:br/>
            </w:r>
            <w:r>
              <w:rPr>
                <w:rFonts w:ascii="Arial" w:hAnsi="Arial" w:eastAsia="Arial" w:cs="Arial"/>
                <w:color w:val="000000"/>
                <w:sz w:val="20"/>
              </w:rPr>
              <w:t>A household is defined as a person or people who present a single application for assistance. An application may include more than one person being assisted (e.g., children and couples presenting a single application for assistance are not counted separately but are counted as one household).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THM rental remittance report (transitional housing only)</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Transitional housing management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THM property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Transitional housing management property data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H2H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H2H Six-Monthly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funding reconciliation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Six-Monthly Funding Reconciliation Report Template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Half-yearly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H2H weekly client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H2H weekly client data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H4F weekly client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H4F weekly client data report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94843 Homelessness - Emergency Response - Transitional Tenancy</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