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Homelessness Supportive Housing 94840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aihw.gov.au/about-our-data/our-data-collections/specialist-homelessness-services-collection" TargetMode="External"/>
<Relationship Id="rId12" Type="http://schemas.openxmlformats.org/officeDocument/2006/relationships/hyperlink" Target="https://www.legislation.vic.gov.au/in-force/acts/residential-tenancies-act-1997/105" TargetMode="External"/>
<Relationship Id="rId13" Type="http://schemas.openxmlformats.org/officeDocument/2006/relationships/hyperlink" Target="https://www.dffh.vic.gov.au/publications/victorias-homelessness-and-rough-sleeping-action-plan" TargetMode="External"/>
<Relationship Id="rId14" Type="http://schemas.openxmlformats.org/officeDocument/2006/relationships/hyperlink" Target="https://fac.dffh.vic.gov.au/victorian-housing-register" TargetMode="External"/>
<Relationship Id="rId15" Type="http://schemas.openxmlformats.org/officeDocument/2006/relationships/hyperlink" Target="https://www.legislation.vic.gov.au/as-made/statutory-rules/residential-tenancies-regulations-2021-0"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s://fac.dffh.vic.gov.au/homelessness-supportive-housing-guidelines" TargetMode="External"/>
<Relationship Id="rId21" Type="http://schemas.openxmlformats.org/officeDocument/2006/relationships/hyperlink" Target="https://fac.dffh.vic.gov.au/policies-and-procedures"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Homelessness Supportive Housing</w:t>
            </w:r>
          </w:p>
          <w:p>
            <w:pPr>
              <w:spacing w:line="560" w:lineRule="atLeast"/>
              <w:rPr>
                <w:rFonts w:ascii="Arial" w:hAnsi="Arial" w:eastAsia="Arial" w:cs="Arial"/>
                <w:color w:val="201547"/>
                <w:sz w:val="44"/>
              </w:rPr>
            </w:pPr>
            <w:r>
              <w:rPr>
                <w:rFonts w:ascii="Arial" w:hAnsi="Arial" w:eastAsia="Arial" w:cs="Arial"/>
                <w:color w:val="201547"/>
                <w:sz w:val="44"/>
              </w:rPr>
              <w:t>94840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Homelessness Supportive Housing focuses on providing stable, long-term housing alongside flexible and tailored support on site.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Homelessness Supportive Housing includes: a self-contained unit for renters which is managed under the provisions of the Residential Tenancies Act 1997; on site staff and/or concierge who provides a welcoming initial point of contact for renters and other people entering the building, along with managing any issues that may arise; flexible and tailored case management support and access to other on-site services (e.g. Therapeutic recreation, alcohol and other drug support and mental health services). The following Housing First principles apply to supportive housing models: </w:t>
      </w:r>
      <w:r>
        <w:br/>
      </w:r>
      <w:r>
        <w:br/>
      </w:r>
      <w:r>
        <w:rPr>
          <w:rFonts w:ascii="Arial" w:hAnsi="Arial" w:eastAsia="Arial" w:cs="Arial"/>
          <w:color w:val="000000"/>
          <w:sz w:val="20"/>
        </w:rPr>
        <w:t xml:space="preserve">• people have a right to a home </w:t>
      </w:r>
      <w:r>
        <w:br/>
      </w:r>
      <w:r>
        <w:rPr>
          <w:rFonts w:ascii="Arial" w:hAnsi="Arial" w:eastAsia="Arial" w:cs="Arial"/>
          <w:color w:val="000000"/>
          <w:sz w:val="20"/>
        </w:rPr>
        <w:t xml:space="preserve">• housing and support are separated </w:t>
      </w:r>
      <w:r>
        <w:br/>
      </w:r>
      <w:r>
        <w:rPr>
          <w:rFonts w:ascii="Arial" w:hAnsi="Arial" w:eastAsia="Arial" w:cs="Arial"/>
          <w:color w:val="000000"/>
          <w:sz w:val="20"/>
        </w:rPr>
        <w:t xml:space="preserve">• flexible support for as long as it is needed </w:t>
      </w:r>
      <w:r>
        <w:br/>
      </w:r>
      <w:r>
        <w:rPr>
          <w:rFonts w:ascii="Arial" w:hAnsi="Arial" w:eastAsia="Arial" w:cs="Arial"/>
          <w:color w:val="000000"/>
          <w:sz w:val="20"/>
        </w:rPr>
        <w:t xml:space="preserve">• choice and self-determination </w:t>
      </w:r>
      <w:r>
        <w:br/>
      </w:r>
      <w:r>
        <w:rPr>
          <w:rFonts w:ascii="Arial" w:hAnsi="Arial" w:eastAsia="Arial" w:cs="Arial"/>
          <w:color w:val="000000"/>
          <w:sz w:val="20"/>
        </w:rPr>
        <w:t xml:space="preserve">• active engagement without coercion </w:t>
      </w:r>
      <w:r>
        <w:br/>
      </w:r>
      <w:r>
        <w:rPr>
          <w:rFonts w:ascii="Arial" w:hAnsi="Arial" w:eastAsia="Arial" w:cs="Arial"/>
          <w:color w:val="000000"/>
          <w:sz w:val="20"/>
        </w:rPr>
        <w:t xml:space="preserve">• social and community inclusion </w:t>
      </w:r>
      <w:r>
        <w:br/>
      </w:r>
      <w:r>
        <w:rPr>
          <w:rFonts w:ascii="Arial" w:hAnsi="Arial" w:eastAsia="Arial" w:cs="Arial"/>
          <w:color w:val="000000"/>
          <w:sz w:val="20"/>
        </w:rPr>
        <w:t xml:space="preserve">• recovery orientated practice </w:t>
      </w:r>
      <w:r>
        <w:br/>
      </w:r>
      <w:r>
        <w:rPr>
          <w:rFonts w:ascii="Arial" w:hAnsi="Arial" w:eastAsia="Arial" w:cs="Arial"/>
          <w:color w:val="000000"/>
          <w:sz w:val="20"/>
        </w:rPr>
        <w:t>• harm reduction approach.</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activity is targeted at people (including families) who are experiencing homelessness and may have a history of rough sleeping, who have moved into a supportive housing unit.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Residential Tenancies Act 1997</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&lt;https://www.legislation.vic.gov.au/in-force/acts/residential-tenancies-act-1997/105&gt;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&lt;https://fac.dffh.vic.gov.au/victorian-housing-register&gt;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Residential Tenancies Regulations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&lt;https://www.legislation.vic.gov.au/as-made/statutory-rules/residential-tenancies-regulations-2021-0&gt;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Homelessness Supportive Housing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&lt;https://fac.dffh.vic.gov.au/homelessness-supportive-housing-guidelines&gt;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Homelessness and Housing Support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&lt;https://fac.dffh.vic.gov.au/policies-and-procedures&gt;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Proportion of households with a case plan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proportion of households who have an active case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households that have an active case plan in the month as a proportion of total number of tenancies active in the month where the: </w:t>
            </w:r>
            <w:r>
              <w:br/>
            </w:r>
            <w:r>
              <w:br/>
            </w:r>
            <w:r>
              <w:rPr>
                <w:rFonts w:ascii="Arial" w:hAnsi="Arial" w:eastAsia="Arial" w:cs="Arial"/>
                <w:color w:val="000000"/>
                <w:sz w:val="20"/>
              </w:rPr>
              <w:t xml:space="preserve">- Numerator = number of households with an active case plan in the month </w:t>
            </w:r>
            <w:r>
              <w:br/>
            </w:r>
            <w:r>
              <w:rPr>
                <w:rFonts w:ascii="Arial" w:hAnsi="Arial" w:eastAsia="Arial" w:cs="Arial"/>
                <w:color w:val="000000"/>
                <w:sz w:val="20"/>
              </w:rPr>
              <w:t>- Denominator = the total number of tenancies in the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case plan is a personal plan or a support agreement that usually has a statement of the household’s concerns or needs, some goals for the household and strategies to achieve those goals. </w:t>
            </w:r>
            <w:r>
              <w:br/>
            </w:r>
            <w:r>
              <w:rPr>
                <w:rFonts w:ascii="Arial" w:hAnsi="Arial" w:eastAsia="Arial" w:cs="Arial"/>
                <w:color w:val="000000"/>
                <w:sz w:val="20"/>
              </w:rPr>
              <w:t xml:space="preserve">An active case plan is defined in the program requirements as a plan that is currently active, or otherwise meets the review points expected for households residing in the property. </w:t>
            </w:r>
            <w:r>
              <w:br/>
            </w:r>
            <w:r>
              <w:rPr>
                <w:rFonts w:ascii="Arial" w:hAnsi="Arial" w:eastAsia="Arial" w:cs="Arial"/>
                <w:color w:val="000000"/>
                <w:sz w:val="20"/>
              </w:rPr>
              <w:t>A household is a person or persons, including couples, families and friends who reside in a unit together.</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Tenancies open during the month</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open tenancies during the reporting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Count the total number of tenancies that were open during the reporting month. </w:t>
            </w:r>
            <w:r>
              <w:br/>
            </w:r>
            <w:r>
              <w:rPr>
                <w:rFonts w:ascii="Arial" w:hAnsi="Arial" w:eastAsia="Arial" w:cs="Arial"/>
                <w:color w:val="000000"/>
                <w:sz w:val="20"/>
              </w:rPr>
              <w:t>- Include tenancies that were open for the entire duration of the reporting month and tenancies that open for a portion of the reporting month, such as those that were opened or closed part way through.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tenancy is open when a renter has signed a lease or contract to reside in the unit and where there is provision of a period of accommodation to a household that is supported by a tenancy agreement. </w:t>
            </w:r>
            <w:r>
              <w:br/>
            </w:r>
            <w:r>
              <w:rPr>
                <w:rFonts w:ascii="Arial" w:hAnsi="Arial" w:eastAsia="Arial" w:cs="Arial"/>
                <w:color w:val="000000"/>
                <w:sz w:val="20"/>
              </w:rPr>
              <w:t xml:space="preserve">A household is a person or persons, including couples, families and friends who reside in a unit together. </w:t>
            </w:r>
            <w:r>
              <w:br/>
            </w:r>
            <w:r>
              <w:rPr>
                <w:rFonts w:ascii="Arial" w:hAnsi="Arial" w:eastAsia="Arial" w:cs="Arial"/>
                <w:color w:val="000000"/>
                <w:sz w:val="20"/>
              </w:rPr>
              <w:t>A tenancy is closed when the renter has vacated the unit, or the rental provider has gained possession of the unit as per the Residential Tenancies Act 1997.</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Development and submission of a program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Funded organisations are required to submit their Supportive Housing program report quarterly. The report is due on the tenth business day of the month, following the end of the reporting quarter. Reporting quarters are January – March, April – June, July – September and October – December.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Complete Supportive Housing program report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Supporting Housing Program report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Supportive Housing program report template is the reporting requirement to monitor progress against deliverables and outcomes in a supportive housing context.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Supporting Housing Program report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Data obtained from Client Management System in use by agency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January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94840 Homelessness Supportive Housing</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