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Relationship Id="rId2" Type="http://schemas.openxmlformats.org/package/2006/relationships/metadata/core-properties" Target="docProps/core.xml"/>
<Relationship Id="rId3" Type="http://schemas.openxmlformats.org/officeDocument/2006/relationships/extended-properties" Target="docProps/app.xml"/>
</Relationships>
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Oracle USA</Company>
  <LinksUpToDate>false</LinksUpToDate>
  <CharactersWithSpaces>3</CharactersWithSpaces>
  <SharedDoc>false</SharedDoc>
  <HyperlinksChanged>false</HyperlinksChanged>
  <AppVersion>14.0000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Homelessness Leasing 94827</dc:title>
  <dc:subject/>
  <dc:creator>User</dc:creator>
  <cp:keywords/>
  <dc:description>Generated by Oracle BI Publisher 12.2.1.3.0</dc:description>
  <cp:lastModifiedBy>User</cp:lastModifiedBy>
  <cp:revision>2</cp:revision>
  <dcterms:created xsi:type="dcterms:W3CDTF">2013-02-11T20:57:00Z</dcterms:created>
  <dcterms:modified xsi:type="dcterms:W3CDTF">2013-02-11T20:57:00Z</dcterms:modified>
</cp:coreProperties>
</file>

<file path=word\_rels\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fontTable" Target="fontTable.xml"/>
<Relationship Id="rId5" Type="http://schemas.openxmlformats.org/officeDocument/2006/relationships/theme" Target="theme/theme1.xml"/>
<Relationship Id="rId6" Type="http://schemas.openxmlformats.org/officeDocument/2006/relationships/header" Target="header1.xml"/>
<Relationship Id="rId7" Type="http://schemas.openxmlformats.org/officeDocument/2006/relationships/header" Target="header2.xml"/>
<Relationship Id="rId8" Type="http://schemas.openxmlformats.org/officeDocument/2006/relationships/footer" Target="footer1.xml"/>
<Relationship Id="rId9" Type="http://schemas.openxmlformats.org/officeDocument/2006/relationships/footer" Target="footer2.xml"/>
<Relationship Id="rId10" Type="http://schemas.openxmlformats.org/officeDocument/2006/relationships/image" Target="media/image3.png"/>
<Relationship Id="rId11" Type="http://schemas.openxmlformats.org/officeDocument/2006/relationships/hyperlink" Target="http://www.housingregistrar.vic.gov.au/Publications" TargetMode="External"/>
<Relationship Id="rId12" Type="http://schemas.openxmlformats.org/officeDocument/2006/relationships/hyperlink" Target="https://www.aihw.gov.au/about-our-data/our-data-collections/specialist-homelessness-services-collection" TargetMode="External"/>
<Relationship Id="rId13" Type="http://schemas.openxmlformats.org/officeDocument/2006/relationships/hyperlink" Target="https://fac.dffh.vic.gov.au/homelessness-services-guidelines-and-conditions-funding" TargetMode="External"/>
<Relationship Id="rId14" Type="http://schemas.openxmlformats.org/officeDocument/2006/relationships/hyperlink" Target="https://www.dffh.vic.gov.au/publications/victorias-homelessness-and-rough-sleeping-action-plan" TargetMode="External"/>
<Relationship Id="rId15" Type="http://schemas.openxmlformats.org/officeDocument/2006/relationships/hyperlink" Target="https://fac.dffh.vic.gov.au/victorian-housing-register" TargetMode="External"/>
<Relationship Id="rId16" Type="http://schemas.openxmlformats.org/officeDocument/2006/relationships/hyperlink" Target="https://vahhf.org.au/wp-content/uploads/2023/09/victorian-aboriginal-housing-and-homelessness-framework_complete_26_02_20-2.pdf" TargetMode="External"/>
<Relationship Id="rId17" Type="http://schemas.openxmlformats.org/officeDocument/2006/relationships/hyperlink" Target="https://vahhf.org.au/wp-content/uploads/2023/09/Blueprint.pdf" TargetMode="External"/>
<Relationship Id="rId18" Type="http://schemas.openxmlformats.org/officeDocument/2006/relationships/hyperlink" Target="https://chp.org.au/wp-content/uploads/2022/04/Aboriginal-Homelessness-An-Aboriginal-Cultural-Safety-Framework-for-the-Specialist-Homelessness-Sector-4th-draft-with-hi-res-pic-attribution.pdf" TargetMode="External"/>
<Relationship Id="rId19" Type="http://schemas.openxmlformats.org/officeDocument/2006/relationships/hyperlink" Target="https://fac.dffh.vic.gov.au/sites/default/files/2020-07/11_VHR_Homeless_with_Support_operational_guideline%20June%202020.docx" TargetMode="External"/>
<Relationship Id="rId20" Type="http://schemas.openxmlformats.org/officeDocument/2006/relationships/hyperlink" Target="https://fac.dffh.vic.gov.au/policies-and-procedures" TargetMode="External"/>
<Relationship Id="rId21" Type="http://schemas.openxmlformats.org/officeDocument/2006/relationships/hyperlink" Target="http://providers.dffh.vic.gov.au/families-fairness-housing-health-activity-search" TargetMode="External"/>
<Relationship Id="rId22" Type="http://schemas.openxmlformats.org/officeDocument/2006/relationships/numbering" Target="numbering.xml"/>
</Relationships>

</file>

<file path=word\_rels\footer1.xml.rels><?xml version="1.0" encoding="UTF-8" standalone="yes"?>
<Relationships xmlns="http://schemas.openxmlformats.org/package/2006/relationships">
<Relationship Id="rId1" Type="http://schemas.openxmlformats.org/officeDocument/2006/relationships/image" Target="media/image2.png"/>
</Relationships>

</file>

<file path=word\_rels\footer2.xml.rels><?xml version="1.0" encoding="UTF-8" standalone="yes"?>
<Relationships xmlns="http://schemas.openxmlformats.org/package/2006/relationships">
<Relationship Id="rId1" Type="http://schemas.openxmlformats.org/officeDocument/2006/relationships/image" Target="media/image1.png"/>
</Relationships>
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100" w:line="288" w:lineRule="auto"/>
        <w:ind w:left="-699"/>
        <w:rPr/>
      </w:pPr>
      <w:r>
        <w:rPr>
          <w:noProof/>
        </w:rPr>
        <w:drawing>
          <wp:inline distT="0" distB="0" distL="0" distR="0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6"/>
      </w:tblGrid>
      <w:tr>
        <w:tc>
          <w:tcPr>
            <w:tcW w:w="10206" w:type="dxa"/>
            <w:vAlign w:val="bottom"/>
            <w:shd w:val="clear" w:color="auto" w:fill="FFFFFF"/>
          </w:tcPr>
          <w:p>
            <w:pPr>
              <w:spacing w:line="56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Homelessness Leasing</w:t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94827</w:t>
            </w:r>
          </w:p>
        </w:tc>
      </w:tr>
      <w:tr>
        <w:tc>
          <w:tcPr>
            <w:tcW w:w="10206" w:type="dxa"/>
            <w:shd w:val="clear" w:color="auto" w:fill="FFFFFF"/>
          </w:tcPr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Outcome objective: Victorians are safe and secure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 group: Housing Assistance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Output: Housing Support and Homelessness Assistance</w:t>
            </w:r>
          </w:p>
        </w:tc>
      </w:tr>
    </w:tbl>
    <w:p>
      <w:pPr>
        <w:spacing w:line="560" w:lineRule="atLeast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b/>
          <w:bCs/>
          <w:color w:val="000000"/>
          <w:sz w:val="20"/>
        </w:rPr>
        <w:t>OFFICIAL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1. Service objective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Homelessness Leasing aims to address and prevent homelessness by providing funding to agencies to lease properties.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2. Description of the service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Homelessness Leasing may support traditional, sub and head leasing models.  </w:t>
      </w:r>
      <w:r>
        <w:br/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Head leasing involves the leasing of properties on the private market by housing providers with funding provided by the Department of Families, Fairness and Housing. </w:t>
      </w:r>
      <w:r>
        <w:br/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Housing providers that head lease properties guarantee the bond and rental payments for the leased property to the landlord. The housing provider in turn sub-leases these properties to people who are at risk of or experiencing homelessness. </w:t>
      </w:r>
      <w:r>
        <w:br/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Head leasing can be used as a rapid housing solution or a private rental access pathway, and is framed by a continuum of support from more intensive; to help a client maintain their housing while they await long term social housing options, to less intensive; including financial assistance to maintain housing that diminishes over a defined period until the client is ready to take over a lease in their own right. </w:t>
      </w:r>
      <w:r>
        <w:br/>
      </w:r>
      <w:r>
        <w:br/>
      </w:r>
      <w:r>
        <w:rPr>
          <w:rFonts w:ascii="Arial" w:hAnsi="Arial" w:eastAsia="Arial" w:cs="Arial"/>
          <w:color w:val="000000"/>
          <w:sz w:val="20"/>
        </w:rPr>
        <w:t>It is expected the housing and support providers will establish partnerships so that tenants are actively supported for the duration of the head lease tenancy to address their experience of homelessness.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3. Client group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The target group for head leasing are people who: 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- are at risk of, or experiencing, homelessness </w:t>
      </w:r>
      <w:r>
        <w:br/>
      </w:r>
      <w:r>
        <w:rPr>
          <w:rFonts w:ascii="Arial" w:hAnsi="Arial" w:eastAsia="Arial" w:cs="Arial"/>
          <w:color w:val="000000"/>
          <w:sz w:val="20"/>
        </w:rPr>
        <w:t>- need targeted time-limited assistance to access and maintain tenancies in the private rental market.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4. Obligations specific to this activity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b/>
          <w:bCs/>
          <w:color w:val="201547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4a. Registration and Accreditation</w:t>
      </w:r>
    </w:p>
    <w:p>
      <w:pPr>
        <w:spacing w:after="40"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N/A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color w:val="000000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4b. Program requirements and other policy guidelines</w:t>
      </w:r>
      <w:r>
        <w:rPr>
          <w:rFonts w:ascii="Arial" w:hAnsi="Arial" w:eastAsia="Arial" w:cs="Arial"/>
          <w:color w:val="000000"/>
          <w:sz w:val="22"/>
        </w:rPr>
        <w:t/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1" w:tgtFrame="_blank" w:history="1">
        <w:r>
          <w:rPr>
            <w:rFonts w:ascii="Arial" w:hAnsi="Arial" w:eastAsia="Arial" w:cs="Arial"/>
            <w:color w:val="3366FF"/>
            <w:sz w:val="20"/>
          </w:rPr>
          <w:t>Victorian Gazetted Performance Standards for Registered Housing Providers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&lt;http://www.housingregistrar.vic.gov.au/Publications&gt;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2" w:tgtFrame="_blank" w:history="1">
        <w:r>
          <w:rPr>
            <w:rFonts w:ascii="Arial" w:hAnsi="Arial" w:eastAsia="Arial" w:cs="Arial"/>
            <w:color w:val="3366FF"/>
            <w:sz w:val="20"/>
          </w:rPr>
          <w:t>Specialist Homelessness Services Collection Resources (SHSC)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&lt;https://www.aihw.gov.au/about-our-data/our-data-collections/specialist-homelessness-services-collection&gt;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3" w:tgtFrame="_blank" w:history="1">
        <w:r>
          <w:rPr>
            <w:rFonts w:ascii="Arial" w:hAnsi="Arial" w:eastAsia="Arial" w:cs="Arial"/>
            <w:color w:val="3366FF"/>
            <w:sz w:val="20"/>
          </w:rPr>
          <w:t>Homelessness Services Guidelines and Conditions of Funding May 2014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&lt;https://fac.dffh.vic.gov.au/homelessness-services-guidelines-and-conditions-funding&gt;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4" w:tgtFrame="_blank" w:history="1">
        <w:r>
          <w:rPr>
            <w:rFonts w:ascii="Arial" w:hAnsi="Arial" w:eastAsia="Arial" w:cs="Arial"/>
            <w:color w:val="3366FF"/>
            <w:sz w:val="20"/>
          </w:rPr>
          <w:t>Victoria’s Homelessness and Rough Sleeping Action Plan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&lt;https://www.dffh.vic.gov.au/publications/victorias-homelessness-and-rough-sleeping-action-plan&gt;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5" w:tgtFrame="_blank" w:history="1">
        <w:r>
          <w:rPr>
            <w:rFonts w:ascii="Arial" w:hAnsi="Arial" w:eastAsia="Arial" w:cs="Arial"/>
            <w:color w:val="3366FF"/>
            <w:sz w:val="20"/>
          </w:rPr>
          <w:t>Victorian Housing Register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&lt;https://fac.dffh.vic.gov.au/victorian-housing-register&gt;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6" w:tgtFrame="_blank" w:history="1">
        <w:r>
          <w:rPr>
            <w:rFonts w:ascii="Arial" w:hAnsi="Arial" w:eastAsia="Arial" w:cs="Arial"/>
            <w:color w:val="3366FF"/>
            <w:sz w:val="20"/>
          </w:rPr>
          <w:t>Mana-na woorn-tyeen maar-takoort- Every Aboriginal Person has a home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&lt;https://vahhf.org.au/wp-content/uploads/2023/09/victorian-aboriginal-housing-and-homelessness-framework_complete_26_02_20-2.pdf&gt;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7" w:tgtFrame="_blank" w:history="1">
        <w:r>
          <w:rPr>
            <w:rFonts w:ascii="Arial" w:hAnsi="Arial" w:eastAsia="Arial" w:cs="Arial"/>
            <w:color w:val="3366FF"/>
            <w:sz w:val="20"/>
          </w:rPr>
          <w:t>Blueprint for an Aboriginal-Specific Homelessness System in Victoria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&lt;https://vahhf.org.au/wp-content/uploads/2023/09/Blueprint.pdf&gt;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8" w:tgtFrame="_blank" w:history="1">
        <w:r>
          <w:rPr>
            <w:rFonts w:ascii="Arial" w:hAnsi="Arial" w:eastAsia="Arial" w:cs="Arial"/>
            <w:color w:val="3366FF"/>
            <w:sz w:val="20"/>
          </w:rPr>
          <w:t>Aboriginal Homelessness: An Aboriginal Cultural Safety Framework for the Specialist Homelessness Sector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&lt;https://chp.org.au/wp-content/uploads/2022/04/Aboriginal-Homelessness-An-Aboriginal-Cultural-Safety-Framework-for-the-Specialist-Homelessness-Sector-4th-draft-with-hi-res-pic-attribution.pdf&gt;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9" w:tgtFrame="_blank" w:history="1">
        <w:r>
          <w:rPr>
            <w:rFonts w:ascii="Arial" w:hAnsi="Arial" w:eastAsia="Arial" w:cs="Arial"/>
            <w:color w:val="3366FF"/>
            <w:sz w:val="20"/>
          </w:rPr>
          <w:t>Homeless with Support Operational Guidelines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&lt;https://fac.dffh.vic.gov.au/sites/default/files/2020-07/11_VHR_Homeless_with_Support_operational_guideline%20June%202020.docx&gt;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20" w:tgtFrame="_blank" w:history="1">
        <w:r>
          <w:rPr>
            <w:rFonts w:ascii="Arial" w:hAnsi="Arial" w:eastAsia="Arial" w:cs="Arial"/>
            <w:color w:val="3366FF"/>
            <w:sz w:val="20"/>
          </w:rPr>
          <w:t>Homelessness and Housing Support Guidelines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&lt;https://fac.dffh.vic.gov.au/policies-and-procedures&gt;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before="320" w:after="200" w:line="44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5. Performance</w:t>
      </w: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Performance is measured as follows: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1: Number of new tenancies established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the number of households assisted to establish a tenancy through a leased property each year.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Count each new household placed into a leased property.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Specialist Homelessness Services Collection</w:t>
            </w:r>
          </w:p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Service Delivery Tracking (SDT)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 household may be an individual aged 16 years and over or a group of two or more people.</w:t>
            </w:r>
          </w:p>
        </w:tc>
      </w:tr>
    </w:tbl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6. Data collection</w:t>
      </w:r>
    </w:p>
    <w:p>
      <w:pPr>
        <w:spacing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reporting requirements for this service are: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580"/>
        <w:gridCol w:w="2580"/>
        <w:gridCol w:w="2580"/>
        <w:gridCol w:w="2508"/>
      </w:tblGrid>
      <w:tr>
        <w:trPr>
          <w:tblHeader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Specialist Homelessness Services Collection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SHIP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Specialist homelessness services collection (SHSC) provided to the Department Families, Fairness and Housing and the Australian Institute of Health and Welfare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Monthly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Service Delivery Tracking (SDT)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My Agency/SAM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SAMS2/Service delivery tracking data set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Monthly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r>
        <w:rPr>
          <w:rFonts w:ascii="Arial" w:hAnsi="Arial" w:eastAsia="Arial" w:cs="Arial"/>
          <w:color w:val="000000"/>
          <w:sz w:val="18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4"/>
      </w:tblGrid>
      <w:tr>
        <w:trPr>
          <w:cantSplit/>
        </w:trPr>
        <w:tc>
          <w:tcPr>
            <w:tcW w:w="10204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3366FF"/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To receive this publication in an accessible format, email </w:t>
            </w:r>
            <w:r>
              <w:rPr>
                <w:rFonts w:ascii="Arial" w:hAnsi="Arial" w:eastAsia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Authorised and published by the Victorian Government, 1 Treasury Place, Melbourne.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 xml:space="preserve">© State of Victoria, Australia, Department of Families, Fairness and Housing, </w:t>
            </w:r>
            <w:r>
              <w:rPr>
                <w:rFonts w:ascii="Arial" w:hAnsi="Arial" w:eastAsia="Arial" w:cs="Arial"/>
                <w:color w:val="000000"/>
                <w:sz w:val="16"/>
              </w:rPr>
              <w:t>January 2026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. 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ISSN 2653-0929 – Online (PDF/Word)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hAnsi="Arial" w:eastAsia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hAnsi="Arial" w:eastAsia="Arial" w:cs="Arial"/>
                <w:color w:val="000000"/>
                <w:sz w:val="20"/>
              </w:rPr>
              <w:t>activity search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hyperlink r:id="rId21" w:tgtFrame="_blank" w:history="1">
              <w:r>
                <w:rPr>
                  <w:rFonts w:ascii="Arial" w:hAnsi="Arial" w:eastAsia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hAnsi="Arial" w:eastAsia="Arial" w:cs="Arial"/>
                <w:color w:val="000000"/>
                <w:sz w:val="20"/>
              </w:rPr>
              <w:t>&gt;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bookmarkStart w:id="0" w:name="page_total_master0"/>
      <w:r>
        <w:rPr>
          <w:rFonts w:ascii="Arial" w:hAnsi="Arial" w:eastAsia="Arial" w:cs="Arial"/>
          <w:color w:val="000000"/>
          <w:sz w:val="18"/>
        </w:rPr>
        <w:t/>
      </w:r>
      <w:bookmarkEnd w:id="0"/>
      <w:bookmarkStart w:id="1" w:name="page_total"/>
      <w:r>
        <w:rPr>
          <w:rFonts w:ascii="Arial" w:hAnsi="Arial" w:eastAsia="Arial" w:cs="Arial"/>
          <w:color w:val="000000"/>
          <w:sz w:val="18"/>
        </w:rPr>
        <w:t/>
      </w:r>
      <w:bookmarkEnd w:id="1"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428"/>
        <w:tab w:val="left" w:pos="9123"/>
        <w:tab w:val="right" w:pos="10314"/>
      </w:tabs>
      <w:ind w:left="111" w:right="105"/>
      <w:rPr/>
    </w:pPr>
    <w:r>
      <w:rPr>
        <w:rFonts w:ascii="Arial" w:hAnsi="Arial" w:eastAsia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692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 </w:t>
          </w:r>
        </w:p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ind w:left="111" w:right="105"/>
      <w:jc w:val="center"/>
      <w:rPr>
        <w:rFonts w:ascii="Arial" w:hAnsi="Arial" w:eastAsia="Arial" w:cs="Arial"/>
        <w:color w:val="000000"/>
        <w:sz w:val="20"/>
      </w:rPr>
    </w:pPr>
    <w:r>
      <w:rPr>
        <w:rFonts w:ascii="Arial" w:hAnsi="Arial" w:eastAsia="Arial" w:cs="Arial"/>
        <w:color w:val="000000"/>
        <w:sz w:val="20"/>
      </w:rPr>
      <w:t/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3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spacing w:before="240"/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 xml:space="preserve">   </w:t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08"/>
        <w:tab w:val="right" w:pos="10312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>Housing Assistance 94827 Homelessness Leasing</w:t>
    </w:r>
    <w:r>
      <w:rPr>
        <w:rFonts w:ascii="Arial" w:hAnsi="Arial" w:eastAsia="Arial" w:cs="Arial"/>
        <w:color w:val="000000"/>
        <w:sz w:val="18"/>
      </w:rPr>
      <w:tab/>
    </w:r>
    <w:r>
      <w:rPr>
        <w:rFonts w:ascii="Arial" w:hAnsi="Arial" w:eastAsia="Arial" w:cs="Arial"/>
        <w:color w:val="000000"/>
        <w:sz w:val="18"/>
      </w:rPr>
      <w:fldChar w:fldCharType="begin"/>
    </w:r>
    <w:r>
      <w:rPr>
        <w:rFonts w:ascii="Arial" w:hAnsi="Arial" w:eastAsia="Arial" w:cs="Arial"/>
        <w:color w:val="000000"/>
        <w:sz w:val="18"/>
      </w:rPr>
      <w:instrText xml:space="preserve"> PAGE   \* MERGEFORMAT </w:instrText>
    </w:r>
    <w:r>
      <w:rPr>
        <w:rFonts w:ascii="Arial" w:hAnsi="Arial" w:eastAsia="Arial" w:cs="Arial"/>
        <w:color w:val="000000"/>
        <w:sz w:val="18"/>
      </w:rPr>
      <w:fldChar w:fldCharType="separate"/>
    </w:r>
    <w:r>
      <w:rPr>
        <w:rFonts w:ascii="Arial" w:hAnsi="Arial" w:eastAsia="Arial" w:cs="Arial"/>
        <w:color w:val="000000"/>
        <w:sz w:val="18"/>
      </w:rPr>
      <w:t>1</w:t>
    </w:r>
    <w:r>
      <w:rPr>
        <w:rFonts w:ascii="Arial" w:hAnsi="Arial" w:eastAsia="Arial" w:cs="Arial"/>
        <w:color w:val="000000"/>
        <w:sz w:val="18"/>
      </w:rPr>
      <w:fldChar w:fldCharType="end"/>
    </w:r>
  </w:p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5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335" w:hanging="227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left="46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18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190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62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34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06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478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50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22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lvlText w:val="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0"/>
      </w:rPr>
    </w:lvl>
    <w:lvl w:ilvl="1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4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bullet"/>
      <w:lvlText w:val="•"/>
      <w:lvlJc w:val="start"/>
      <w:pPr>
        <w:ind w:left="335" w:hanging="227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num w:numId="19">
    <w:abstractNumId w:val="13"/>
  </w:num>
  <w:num w:numId="18">
    <w:abstractNumId w:val="14"/>
  </w:num>
  <w:num w:numId="17">
    <w:abstractNumId w:val="0"/>
  </w:num>
  <w:num w:numId="16">
    <w:abstractNumId w:val="6"/>
  </w:num>
  <w:num w:numId="15">
    <w:abstractNumId w:val="4"/>
  </w:num>
  <w:num w:numId="14">
    <w:abstractNumId w:val="1"/>
  </w:num>
  <w:num w:numId="13">
    <w:abstractNumId w:val="8"/>
  </w:num>
  <w:num w:numId="12">
    <w:abstractNumId w:val="12"/>
  </w:num>
  <w:num w:numId="11">
    <w:abstractNumId w:val="5"/>
  </w:num>
  <w:num w:numId="10">
    <w:abstractNumId w:val="9"/>
  </w:num>
  <w:num w:numId="9">
    <w:abstractNumId w:val="10"/>
  </w:num>
  <w:num w:numId="8">
    <w:abstractNumId w:val="7"/>
  </w:num>
  <w:num w:numId="7">
    <w:abstractNumId w:val="14"/>
  </w:num>
  <w:num w:numId="6">
    <w:abstractNumId w:val="2"/>
  </w:num>
  <w:num w:numId="5">
    <w:abstractNumId w:val="2"/>
  </w:num>
  <w:num w:numId="4">
    <w:abstractNumId w:val="2"/>
  </w:num>
  <w:num w:numId="3">
    <w:abstractNumId w:val="11"/>
  </w:num>
  <w:num w:numId="2">
    <w:abstractNumId w:val="2"/>
  </w:num>
  <w:num w:numId="1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