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Company>Oracle USA</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Homelessness Children's Program 94655</dc:title>
  <dc:subject/>
  <dc:creator>User</dc:creator>
  <cp:keywords/>
  <dc:description>Generated by Oracle BI Publisher 12.2.1.3.0</dc:description>
  <cp:lastModifiedBy>User</cp:lastModifiedBy>
  <cp:revision>2</cp:revision>
  <dcterms:created xsi:type="dcterms:W3CDTF">2013-02-11T20:57:00Z</dcterms:created>
  <dcterms:modified xsi:type="dcterms:W3CDTF">2013-02-11T20:57:00Z</dcterms:modified>
</cp:corePropertie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3.png"/>
<Relationship Id="rId11" Type="http://schemas.openxmlformats.org/officeDocument/2006/relationships/hyperlink" Target="https://www.aihw.gov.au/about-our-data/our-data-collections/specialist-homelessness-services-collection" TargetMode="External"/>
<Relationship Id="rId12" Type="http://schemas.openxmlformats.org/officeDocument/2006/relationships/hyperlink" Target="https://fac.dffh.vic.gov.au/homelessness-services-guidelines-and-conditions-funding" TargetMode="External"/>
<Relationship Id="rId13" Type="http://schemas.openxmlformats.org/officeDocument/2006/relationships/hyperlink" Target="https://www.dffh.vic.gov.au/publications/victorias-homelessness-and-rough-sleeping-action-plan" TargetMode="External"/>
<Relationship Id="rId14" Type="http://schemas.openxmlformats.org/officeDocument/2006/relationships/hyperlink" Target="https://fac.dhhs.vic.gov.au/victorian-housing-register" TargetMode="External"/>
<Relationship Id="rId15" Type="http://schemas.openxmlformats.org/officeDocument/2006/relationships/hyperlink" Target="https://vahhf.org.au/wp-content/uploads/2023/09/victorian-aboriginal-housing-and-homelessness-framework_complete_26_02_20-2.pdf" TargetMode="External"/>
<Relationship Id="rId16" Type="http://schemas.openxmlformats.org/officeDocument/2006/relationships/hyperlink" Target="https://vahhf.org.au/wp-content/uploads/2023/09/Blueprint.pdf" TargetMode="External"/>
<Relationship Id="rId17" Type="http://schemas.openxmlformats.org/officeDocument/2006/relationships/hyperlink" Target="https://chp.org.au/wp-content/uploads/2022/04/Aboriginal-Homelessness-An-Aboriginal-Cultural-Safety-Framework-for-the-Specialist-Homelessness-Sector-4th-draft-with-hi-res-pic-attribution.pdf" TargetMode="External"/>
<Relationship Id="rId18" Type="http://schemas.openxmlformats.org/officeDocument/2006/relationships/hyperlink" Target="https://fac.dffh.vic.gov.au/sites/default/files/2020-07/11_VHR_Homeless_with_Support_operational_guideline%20June%202020.docx" TargetMode="External"/>
<Relationship Id="rId19" Type="http://schemas.openxmlformats.org/officeDocument/2006/relationships/hyperlink" Target="http://providers.dffh.vic.gov.au/families-fairness-housing-health-activity-search" TargetMode="External"/>
<Relationship Id="rId20" Type="http://schemas.openxmlformats.org/officeDocument/2006/relationships/numbering" Target="numbering.xml"/>
</Relationships>

</file>

<file path=word\_rels\footer1.xml.rels><?xml version="1.0" encoding="UTF-8" standalone="yes"?>
<Relationships xmlns="http://schemas.openxmlformats.org/package/2006/relationships">
<Relationship Id="rId1" Type="http://schemas.openxmlformats.org/officeDocument/2006/relationships/image" Target="media/image2.png"/>
</Relationships>

</file>

<file path=word\_rels\footer2.xml.rels><?xml version="1.0" encoding="UTF-8" standalone="yes"?>
<Relationships xmlns="http://schemas.openxmlformats.org/package/2006/relationships">
<Relationship Id="rId1" Type="http://schemas.openxmlformats.org/officeDocument/2006/relationships/image" Target="media/image1.png"/>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100" w:line="288" w:lineRule="auto"/>
        <w:ind w:left="-699"/>
        <w:rPr/>
      </w:pPr>
      <w:r>
        <w:rPr>
          <w:noProof/>
        </w:rPr>
        <w:drawing>
          <wp:inline distT="0" distB="0" distL="0" distR="0">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10">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Pr>
      <w:tblGrid>
        <w:gridCol w:w="10206"/>
      </w:tblGrid>
      <w:tr>
        <w:tc>
          <w:tcPr>
            <w:tcW w:w="10206" w:type="dxa"/>
            <w:vAlign w:val="bottom"/>
            <w:shd w:val="clear" w:color="auto" w:fill="FFFFFF"/>
          </w:tcPr>
          <w:p>
            <w:pPr>
              <w:spacing w:line="560" w:lineRule="atLeast"/>
              <w:rPr>
                <w:rFonts w:ascii="Arial" w:hAnsi="Arial" w:eastAsia="Arial" w:cs="Arial"/>
                <w:color w:val="000000"/>
                <w:sz w:val="20"/>
              </w:rPr>
            </w:pPr>
            <w:r>
              <w:rPr>
                <w:rFonts w:ascii="Arial" w:hAnsi="Arial" w:eastAsia="Arial" w:cs="Arial"/>
                <w:color w:val="000000"/>
                <w:sz w:val="20"/>
              </w:rPr>
              <w:t/>
            </w:r>
          </w:p>
          <w:p>
            <w:pPr>
              <w:spacing w:line="560" w:lineRule="atLeast"/>
              <w:rPr>
                <w:rFonts w:ascii="Arial" w:hAnsi="Arial" w:eastAsia="Arial" w:cs="Arial"/>
                <w:color w:val="201547"/>
                <w:sz w:val="44"/>
              </w:rPr>
            </w:pPr>
            <w:r>
              <w:rPr>
                <w:rFonts w:ascii="Arial" w:hAnsi="Arial" w:eastAsia="Arial" w:cs="Arial"/>
                <w:color w:val="201547"/>
                <w:sz w:val="44"/>
              </w:rPr>
              <w:t>Homelessness Children's Program</w:t>
            </w:r>
          </w:p>
          <w:p>
            <w:pPr>
              <w:spacing w:line="560" w:lineRule="atLeast"/>
              <w:rPr>
                <w:rFonts w:ascii="Arial" w:hAnsi="Arial" w:eastAsia="Arial" w:cs="Arial"/>
                <w:color w:val="201547"/>
                <w:sz w:val="44"/>
              </w:rPr>
            </w:pPr>
            <w:r>
              <w:rPr>
                <w:rFonts w:ascii="Arial" w:hAnsi="Arial" w:eastAsia="Arial" w:cs="Arial"/>
                <w:color w:val="201547"/>
                <w:sz w:val="44"/>
              </w:rPr>
              <w:t>94655</w:t>
            </w:r>
          </w:p>
        </w:tc>
      </w:tr>
      <w:tr>
        <w:tc>
          <w:tcPr>
            <w:tcW w:w="10206" w:type="dxa"/>
            <w:shd w:val="clear" w:color="auto" w:fill="FFFFFF"/>
          </w:tcPr>
          <w:p>
            <w:pPr>
              <w:spacing w:after="120"/>
              <w:rPr>
                <w:rFonts w:ascii="Arial" w:hAnsi="Arial" w:eastAsia="Arial" w:cs="Arial"/>
                <w:color w:val="201547"/>
                <w:sz w:val="28"/>
              </w:rPr>
            </w:pPr>
            <w:r>
              <w:rPr>
                <w:rFonts w:ascii="Arial" w:hAnsi="Arial" w:eastAsia="Arial" w:cs="Arial"/>
                <w:color w:val="201547"/>
                <w:sz w:val="28"/>
              </w:rPr>
              <w:t>Outcome objective: Victorians are safe and secure</w:t>
            </w:r>
          </w:p>
          <w:p>
            <w:pPr>
              <w:spacing w:after="120"/>
              <w:rPr>
                <w:rFonts w:ascii="Arial" w:hAnsi="Arial" w:eastAsia="Arial" w:cs="Arial"/>
                <w:color w:val="201547"/>
                <w:sz w:val="28"/>
              </w:rPr>
            </w:pPr>
            <w:r>
              <w:rPr>
                <w:rFonts w:ascii="Arial" w:hAnsi="Arial" w:eastAsia="Arial" w:cs="Arial"/>
                <w:color w:val="201547"/>
                <w:sz w:val="28"/>
              </w:rPr>
              <w:t>Output group: Housing Assistance</w:t>
            </w:r>
          </w:p>
          <w:p>
            <w:pPr>
              <w:spacing w:after="120"/>
              <w:rPr>
                <w:rFonts w:ascii="Arial" w:hAnsi="Arial" w:eastAsia="Arial" w:cs="Arial"/>
                <w:color w:val="201547"/>
                <w:sz w:val="28"/>
              </w:rPr>
            </w:pPr>
            <w:r>
              <w:rPr>
                <w:rFonts w:ascii="Arial" w:hAnsi="Arial" w:eastAsia="Arial" w:cs="Arial"/>
                <w:color w:val="201547"/>
                <w:sz w:val="28"/>
              </w:rPr>
              <w:t>Output: Housing Support and Homelessness Assistance</w:t>
            </w:r>
          </w:p>
        </w:tc>
      </w:tr>
    </w:tbl>
    <w:p>
      <w:pPr>
        <w:spacing w:line="560" w:lineRule="atLeast"/>
        <w:ind w:left="111" w:right="105"/>
        <w:rPr>
          <w:rFonts w:ascii="Arial" w:hAnsi="Arial" w:eastAsia="Arial" w:cs="Arial"/>
          <w:b/>
          <w:bCs/>
          <w:color w:val="000000"/>
          <w:sz w:val="20"/>
        </w:rPr>
      </w:pPr>
      <w:r>
        <w:rPr>
          <w:rFonts w:ascii="Arial" w:hAnsi="Arial" w:eastAsia="Arial" w:cs="Arial"/>
          <w:b/>
          <w:bCs/>
          <w:color w:val="000000"/>
          <w:sz w:val="20"/>
        </w:rPr>
        <w:t>OFFICIAL</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1. Service objective</w:t>
      </w:r>
    </w:p>
    <w:p>
      <w:pPr>
        <w:spacing w:line="270" w:lineRule="atLeast"/>
        <w:ind w:left="111" w:right="105"/>
        <w:rPr>
          <w:rFonts w:ascii="Arial" w:hAnsi="Arial" w:eastAsia="Arial" w:cs="Arial"/>
          <w:color w:val="000000"/>
          <w:sz w:val="20"/>
        </w:rPr>
      </w:pPr>
      <w:r>
        <w:rPr>
          <w:rFonts w:ascii="Arial" w:hAnsi="Arial" w:eastAsia="Arial" w:cs="Arial"/>
          <w:color w:val="000000"/>
          <w:sz w:val="20"/>
        </w:rPr>
        <w:t>Homelessness Children’s Program aims to provide a response to children experiencing or at risk of homelessness to reduce the impact of trauma on their immediate and long term emotional and physical wellbeing. The service also aims to improve the knowledge, skills and confidence of the homelessness sector in providing support to children and families who are homeless or at risk of homelessness.</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2. Description of the service</w:t>
      </w:r>
    </w:p>
    <w:p>
      <w:pPr>
        <w:spacing w:line="270" w:lineRule="atLeast"/>
        <w:ind w:left="111" w:right="105"/>
        <w:rPr>
          <w:rFonts w:ascii="Arial" w:hAnsi="Arial" w:eastAsia="Arial" w:cs="Arial"/>
          <w:color w:val="000000"/>
          <w:sz w:val="20"/>
        </w:rPr>
      </w:pPr>
      <w:r>
        <w:rPr>
          <w:rFonts w:ascii="Arial" w:hAnsi="Arial" w:eastAsia="Arial" w:cs="Arial"/>
          <w:color w:val="000000"/>
          <w:sz w:val="20"/>
        </w:rPr>
        <w:t xml:space="preserve">Homelessness Children’s Program provides a suite of support responses to children and families, including: </w:t>
      </w:r>
      <w:r>
        <w:br/>
      </w:r>
      <w:r>
        <w:rPr>
          <w:rFonts w:ascii="Arial" w:hAnsi="Arial" w:eastAsia="Arial" w:cs="Arial"/>
          <w:color w:val="000000"/>
          <w:sz w:val="20"/>
        </w:rPr>
        <w:t xml:space="preserve">• case management </w:t>
      </w:r>
      <w:r>
        <w:br/>
      </w:r>
      <w:r>
        <w:rPr>
          <w:rFonts w:ascii="Arial" w:hAnsi="Arial" w:eastAsia="Arial" w:cs="Arial"/>
          <w:color w:val="000000"/>
          <w:sz w:val="20"/>
        </w:rPr>
        <w:t xml:space="preserve">• therapeutic group work. </w:t>
      </w:r>
      <w:r>
        <w:br/>
      </w:r>
      <w:r>
        <w:br/>
      </w:r>
      <w:r>
        <w:rPr>
          <w:rFonts w:ascii="Arial" w:hAnsi="Arial" w:eastAsia="Arial" w:cs="Arial"/>
          <w:color w:val="000000"/>
          <w:sz w:val="20"/>
        </w:rPr>
        <w:t xml:space="preserve">Linked flexible brokerage is available to enhance opportunities for children experiencing homelessness to: </w:t>
      </w:r>
      <w:r>
        <w:br/>
      </w:r>
      <w:r>
        <w:rPr>
          <w:rFonts w:ascii="Arial" w:hAnsi="Arial" w:eastAsia="Arial" w:cs="Arial"/>
          <w:color w:val="000000"/>
          <w:sz w:val="20"/>
        </w:rPr>
        <w:t xml:space="preserve">• engage and maintain their education (including early education services such as childcare and kindergarten) </w:t>
      </w:r>
      <w:r>
        <w:br/>
      </w:r>
      <w:r>
        <w:rPr>
          <w:rFonts w:ascii="Arial" w:hAnsi="Arial" w:eastAsia="Arial" w:cs="Arial"/>
          <w:color w:val="000000"/>
          <w:sz w:val="20"/>
        </w:rPr>
        <w:t xml:space="preserve">• reduce social isolation by enhancing access to a range of support, social and recreational opportunities within their community </w:t>
      </w:r>
      <w:r>
        <w:br/>
      </w:r>
      <w:r>
        <w:rPr>
          <w:rFonts w:ascii="Arial" w:hAnsi="Arial" w:eastAsia="Arial" w:cs="Arial"/>
          <w:color w:val="000000"/>
          <w:sz w:val="20"/>
        </w:rPr>
        <w:t>• provide social and emotional growth opportunities for children and provide opportunities to increase relational bonds between parents/carers and children.</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3. Client group</w:t>
      </w:r>
    </w:p>
    <w:p>
      <w:pPr>
        <w:spacing w:line="288" w:lineRule="auto"/>
        <w:ind w:left="111" w:right="105"/>
        <w:rPr>
          <w:rFonts w:ascii="Arial" w:hAnsi="Arial" w:eastAsia="Arial" w:cs="Arial"/>
          <w:color w:val="000000"/>
          <w:sz w:val="20"/>
        </w:rPr>
      </w:pPr>
      <w:r>
        <w:rPr>
          <w:rFonts w:ascii="Arial" w:hAnsi="Arial" w:eastAsia="Arial" w:cs="Arial"/>
          <w:color w:val="000000"/>
          <w:sz w:val="20"/>
        </w:rPr>
        <w:t>The target group for the Homelessness Children’s Program is children aged up to 12 years (with capacity to support children up to the age of 18) in families who are receiving case management support from a specialist homelessness support or family violence support agency.</w:t>
      </w:r>
    </w:p>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4. Obligations specific to this activity</w:t>
      </w:r>
    </w:p>
    <w:p>
      <w:pPr>
        <w:spacing w:line="288" w:lineRule="auto"/>
        <w:ind w:left="111" w:right="105"/>
        <w:rPr>
          <w:rFonts w:ascii="Arial" w:hAnsi="Arial" w:eastAsia="Arial" w:cs="Arial"/>
          <w:color w:val="000000"/>
          <w:sz w:val="20"/>
        </w:rPr>
      </w:pPr>
      <w:r>
        <w:rPr>
          <w:rFonts w:ascii="Arial" w:hAnsi="Arial" w:eastAsia="Arial" w:cs="Arial"/>
          <w:color w:val="000000"/>
          <w:sz w:val="20"/>
        </w:rPr>
        <w:t>In addition to the obligations listed in the Service Agreement, organisations funded to deliver this activity must comply with the following:</w:t>
      </w:r>
    </w:p>
    <w:p>
      <w:pPr>
        <w:spacing w:before="240" w:after="90" w:line="320" w:lineRule="atLeast"/>
        <w:ind w:left="111" w:right="105"/>
        <w:rPr>
          <w:rFonts w:ascii="Arial" w:hAnsi="Arial" w:eastAsia="Arial" w:cs="Arial"/>
          <w:b/>
          <w:bCs/>
          <w:color w:val="201547"/>
          <w:sz w:val="22"/>
        </w:rPr>
      </w:pPr>
      <w:r>
        <w:rPr>
          <w:rFonts w:ascii="Arial" w:hAnsi="Arial" w:eastAsia="Arial" w:cs="Arial"/>
          <w:b/>
          <w:bCs/>
          <w:color w:val="201547"/>
          <w:sz w:val="22"/>
        </w:rPr>
        <w:t>4a. Registration and Accreditation</w:t>
      </w:r>
    </w:p>
    <w:p>
      <w:pPr>
        <w:numPr>
          <w:ilvl w:val="0"/>
          <w:numId w:val="7"/>
        </w:numPr>
        <w:spacing w:after="40" w:line="270" w:lineRule="atLeast"/>
        <w:rPr>
          <w:rFonts w:ascii="Arial" w:hAnsi="Arial" w:eastAsia="Arial" w:cs="Arial"/>
          <w:b/>
          <w:bCs/>
          <w:color w:val="000000"/>
          <w:sz w:val="20"/>
        </w:rPr>
      </w:pPr>
      <w:r>
        <w:rPr>
          <w:rFonts w:ascii="Arial" w:hAnsi="Arial" w:eastAsia="Arial" w:cs="Arial"/>
          <w:color w:val="000000"/>
          <w:sz w:val="20"/>
        </w:rPr>
        <w:t>Independent review and accreditation against the department’s Human Services Standards, unless exempted.</w:t>
      </w:r>
      <w:r>
        <w:rPr>
          <w:rFonts w:ascii="Arial" w:hAnsi="Arial" w:eastAsia="Arial" w:cs="Arial"/>
          <w:b/>
          <w:bCs/>
          <w:color w:val="000000"/>
          <w:sz w:val="20"/>
        </w:rPr>
        <w:t xml:space="preserve"> </w:t>
      </w:r>
    </w:p>
    <w:p>
      <w:pPr>
        <w:spacing w:before="240" w:after="90" w:line="320" w:lineRule="atLeast"/>
        <w:ind w:left="111" w:right="105"/>
        <w:rPr>
          <w:rFonts w:ascii="Arial" w:hAnsi="Arial" w:eastAsia="Arial" w:cs="Arial"/>
          <w:color w:val="000000"/>
          <w:sz w:val="22"/>
        </w:rPr>
      </w:pPr>
      <w:r>
        <w:rPr>
          <w:rFonts w:ascii="Arial" w:hAnsi="Arial" w:eastAsia="Arial" w:cs="Arial"/>
          <w:b/>
          <w:bCs/>
          <w:color w:val="201547"/>
          <w:sz w:val="22"/>
        </w:rPr>
        <w:t>4b. Program requirements and other policy guidelines</w:t>
      </w:r>
      <w:r>
        <w:rPr>
          <w:rFonts w:ascii="Arial" w:hAnsi="Arial" w:eastAsia="Arial" w:cs="Arial"/>
          <w:color w:val="000000"/>
          <w:sz w:val="22"/>
        </w:rPr>
        <w:t/>
      </w:r>
    </w:p>
    <w:p>
      <w:pPr>
        <w:numPr>
          <w:ilvl w:val="0"/>
          <w:numId w:val="7"/>
        </w:numPr>
        <w:spacing w:after="40" w:line="270" w:lineRule="atLeast"/>
        <w:rPr>
          <w:rFonts w:ascii="Arial" w:hAnsi="Arial" w:eastAsia="Arial" w:cs="Arial"/>
          <w:color w:val="3366FF"/>
          <w:sz w:val="20"/>
        </w:rPr>
      </w:pPr>
      <w:hyperlink r:id="rId11" w:tgtFrame="_blank" w:history="1">
        <w:r>
          <w:rPr>
            <w:rFonts w:ascii="Arial" w:hAnsi="Arial" w:eastAsia="Arial" w:cs="Arial"/>
            <w:color w:val="3366FF"/>
            <w:sz w:val="20"/>
          </w:rPr>
          <w:t>Specialist Homelessness Services Collection Resources (SHSC)</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&lt;https://www.aihw.gov.au/about-our-data/our-data-collections/specialist-homelessness-services-collection&gt;</w:t>
      </w:r>
    </w:p>
    <w:p>
      <w:pPr>
        <w:numPr>
          <w:ilvl w:val="0"/>
          <w:numId w:val="7"/>
        </w:numPr>
        <w:spacing w:after="40" w:line="270" w:lineRule="atLeast"/>
        <w:rPr>
          <w:rFonts w:ascii="Arial" w:hAnsi="Arial" w:eastAsia="Arial" w:cs="Arial"/>
          <w:color w:val="3366FF"/>
          <w:sz w:val="20"/>
        </w:rPr>
      </w:pPr>
      <w:hyperlink r:id="rId12" w:tgtFrame="_blank" w:history="1">
        <w:r>
          <w:rPr>
            <w:rFonts w:ascii="Arial" w:hAnsi="Arial" w:eastAsia="Arial" w:cs="Arial"/>
            <w:color w:val="3366FF"/>
            <w:sz w:val="20"/>
          </w:rPr>
          <w:t>Homelessness Services Guidelines and Conditions of Funding May 2014</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&lt;https://fac.dffh.vic.gov.au/homelessness-services-guidelines-and-conditions-funding&gt;</w:t>
      </w:r>
    </w:p>
    <w:p>
      <w:pPr>
        <w:numPr>
          <w:ilvl w:val="0"/>
          <w:numId w:val="7"/>
        </w:numPr>
        <w:spacing w:after="40" w:line="270" w:lineRule="atLeast"/>
        <w:rPr>
          <w:rFonts w:ascii="Arial" w:hAnsi="Arial" w:eastAsia="Arial" w:cs="Arial"/>
          <w:color w:val="3366FF"/>
          <w:sz w:val="20"/>
        </w:rPr>
      </w:pPr>
      <w:hyperlink r:id="rId13" w:tgtFrame="_blank" w:history="1">
        <w:r>
          <w:rPr>
            <w:rFonts w:ascii="Arial" w:hAnsi="Arial" w:eastAsia="Arial" w:cs="Arial"/>
            <w:color w:val="3366FF"/>
            <w:sz w:val="20"/>
          </w:rPr>
          <w:t>Victoria’s Homelessness and Rough Sleeping Action Plan (January 2018)</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&lt;https://www.dffh.vic.gov.au/publications/victorias-homelessness-and-rough-sleeping-action-plan&gt;</w:t>
      </w:r>
    </w:p>
    <w:p>
      <w:pPr>
        <w:numPr>
          <w:ilvl w:val="0"/>
          <w:numId w:val="7"/>
        </w:numPr>
        <w:spacing w:after="40" w:line="270" w:lineRule="atLeast"/>
        <w:rPr>
          <w:rFonts w:ascii="Arial" w:hAnsi="Arial" w:eastAsia="Arial" w:cs="Arial"/>
          <w:color w:val="3366FF"/>
          <w:sz w:val="20"/>
        </w:rPr>
      </w:pPr>
      <w:hyperlink r:id="rId14" w:tgtFrame="_blank" w:history="1">
        <w:r>
          <w:rPr>
            <w:rFonts w:ascii="Arial" w:hAnsi="Arial" w:eastAsia="Arial" w:cs="Arial"/>
            <w:color w:val="3366FF"/>
            <w:sz w:val="20"/>
          </w:rPr>
          <w:t>Further information on the Victorian Housing Register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&lt;https://fac.dhhs.vic.gov.au/victorian-housing-register&gt;</w:t>
      </w:r>
    </w:p>
    <w:p>
      <w:pPr>
        <w:numPr>
          <w:ilvl w:val="0"/>
          <w:numId w:val="7"/>
        </w:numPr>
        <w:spacing w:after="40" w:line="270" w:lineRule="atLeast"/>
        <w:rPr>
          <w:rFonts w:ascii="Arial" w:hAnsi="Arial" w:eastAsia="Arial" w:cs="Arial"/>
          <w:color w:val="3366FF"/>
          <w:sz w:val="20"/>
        </w:rPr>
      </w:pPr>
      <w:hyperlink r:id="rId15" w:tgtFrame="_blank" w:history="1">
        <w:r>
          <w:rPr>
            <w:rFonts w:ascii="Arial" w:hAnsi="Arial" w:eastAsia="Arial" w:cs="Arial"/>
            <w:color w:val="3366FF"/>
            <w:sz w:val="20"/>
          </w:rPr>
          <w:t>Mana-na woorn-tyeen maar-takoort- Every Aboriginal Person has a home</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&lt;https://vahhf.org.au/wp-content/uploads/2023/09/victorian-aboriginal-housing-and-homelessness-framework_complete_26_02_20-2.pdf&gt;</w:t>
      </w:r>
    </w:p>
    <w:p>
      <w:pPr>
        <w:numPr>
          <w:ilvl w:val="0"/>
          <w:numId w:val="7"/>
        </w:numPr>
        <w:spacing w:after="40" w:line="270" w:lineRule="atLeast"/>
        <w:rPr>
          <w:rFonts w:ascii="Arial" w:hAnsi="Arial" w:eastAsia="Arial" w:cs="Arial"/>
          <w:color w:val="3366FF"/>
          <w:sz w:val="20"/>
        </w:rPr>
      </w:pPr>
      <w:hyperlink r:id="rId16" w:tgtFrame="_blank" w:history="1">
        <w:r>
          <w:rPr>
            <w:rFonts w:ascii="Arial" w:hAnsi="Arial" w:eastAsia="Arial" w:cs="Arial"/>
            <w:color w:val="3366FF"/>
            <w:sz w:val="20"/>
          </w:rPr>
          <w:t>Blueprint for an Aboriginal-Specific Homelessness System in Victoria</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&lt;https://vahhf.org.au/wp-content/uploads/2023/09/Blueprint.pdf&gt;</w:t>
      </w:r>
    </w:p>
    <w:p>
      <w:pPr>
        <w:numPr>
          <w:ilvl w:val="0"/>
          <w:numId w:val="7"/>
        </w:numPr>
        <w:spacing w:after="40" w:line="270" w:lineRule="atLeast"/>
        <w:rPr>
          <w:rFonts w:ascii="Arial" w:hAnsi="Arial" w:eastAsia="Arial" w:cs="Arial"/>
          <w:color w:val="3366FF"/>
          <w:sz w:val="20"/>
        </w:rPr>
      </w:pPr>
      <w:hyperlink r:id="rId17" w:tgtFrame="_blank" w:history="1">
        <w:r>
          <w:rPr>
            <w:rFonts w:ascii="Arial" w:hAnsi="Arial" w:eastAsia="Arial" w:cs="Arial"/>
            <w:color w:val="3366FF"/>
            <w:sz w:val="20"/>
          </w:rPr>
          <w:t>Aboriginal Homelessness: An Aboriginal Cultural Safety Framework for the Specialist Homelessness Sector</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&lt;https://chp.org.au/wp-content/uploads/2022/04/Aboriginal-Homelessness-An-Aboriginal-Cultural-Safety-Framework-for-the-Specialist-Homelessness-Sector-4th-draft-with-hi-res-pic-attribution.pdf&gt;</w:t>
      </w:r>
    </w:p>
    <w:p>
      <w:pPr>
        <w:numPr>
          <w:ilvl w:val="0"/>
          <w:numId w:val="7"/>
        </w:numPr>
        <w:spacing w:after="40" w:line="270" w:lineRule="atLeast"/>
        <w:rPr>
          <w:rFonts w:ascii="Arial" w:hAnsi="Arial" w:eastAsia="Arial" w:cs="Arial"/>
          <w:color w:val="3366FF"/>
          <w:sz w:val="20"/>
        </w:rPr>
      </w:pPr>
      <w:hyperlink r:id="rId18" w:tgtFrame="_blank" w:history="1">
        <w:r>
          <w:rPr>
            <w:rFonts w:ascii="Arial" w:hAnsi="Arial" w:eastAsia="Arial" w:cs="Arial"/>
            <w:color w:val="3366FF"/>
            <w:sz w:val="20"/>
          </w:rPr>
          <w:t>Homeless with Support Operational Guidelines</w:t>
        </w:r>
      </w:hyperlink>
    </w:p>
    <w:p>
      <w:pPr>
        <w:spacing w:after="40" w:line="270" w:lineRule="atLeast"/>
        <w:ind w:left="395" w:right="105"/>
        <w:rPr>
          <w:rFonts w:ascii="Arial" w:hAnsi="Arial" w:eastAsia="Arial" w:cs="Arial"/>
          <w:color w:val="000000"/>
          <w:sz w:val="20"/>
        </w:rPr>
      </w:pPr>
      <w:r>
        <w:rPr>
          <w:rFonts w:ascii="Arial" w:hAnsi="Arial" w:eastAsia="Arial" w:cs="Arial"/>
          <w:color w:val="000000"/>
          <w:sz w:val="20"/>
        </w:rPr>
        <w:t>&lt;https://fac.dffh.vic.gov.au/sites/default/files/2020-07/11_VHR_Homeless_with_Support_operational_guideline%20June%202020.docx&gt;</w:t>
      </w:r>
    </w:p>
    <w:p>
      <w:pPr>
        <w:spacing w:line="270" w:lineRule="atLeast"/>
        <w:ind w:left="111" w:right="105"/>
        <w:rPr>
          <w:rFonts w:ascii="Arial" w:hAnsi="Arial" w:eastAsia="Arial" w:cs="Arial"/>
          <w:color w:val="000000"/>
          <w:sz w:val="20"/>
        </w:rPr>
      </w:pPr>
      <w:r>
        <w:rPr>
          <w:rFonts w:ascii="Arial" w:hAnsi="Arial" w:eastAsia="Arial" w:cs="Arial"/>
          <w:color w:val="000000"/>
          <w:sz w:val="20"/>
        </w:rPr>
        <w:t/>
      </w:r>
    </w:p>
    <w:p>
      <w:pPr>
        <w:spacing w:before="320" w:after="200" w:line="440" w:lineRule="atLeast"/>
        <w:ind w:left="111" w:right="105"/>
        <w:rPr>
          <w:rFonts w:ascii="Arial" w:hAnsi="Arial" w:eastAsia="Arial" w:cs="Arial"/>
          <w:color w:val="000000"/>
          <w:sz w:val="20"/>
        </w:rPr>
      </w:pPr>
      <w:r>
        <w:rPr>
          <w:rFonts w:ascii="Arial" w:hAnsi="Arial" w:eastAsia="Arial" w:cs="Arial"/>
          <w:b/>
          <w:bCs/>
          <w:color w:val="201547"/>
          <w:sz w:val="28"/>
        </w:rPr>
        <w:t>5. Performance</w:t>
      </w:r>
      <w:r>
        <w:rPr>
          <w:rFonts w:ascii="Arial" w:hAnsi="Arial" w:eastAsia="Arial" w:cs="Arial"/>
          <w:color w:val="000000"/>
          <w:sz w:val="20"/>
        </w:rPr>
        <w:t/>
      </w:r>
    </w:p>
    <w:p>
      <w:pPr>
        <w:spacing w:line="288" w:lineRule="auto"/>
        <w:ind w:left="111" w:right="105"/>
        <w:rPr>
          <w:rFonts w:ascii="Arial" w:hAnsi="Arial" w:eastAsia="Arial" w:cs="Arial"/>
          <w:color w:val="000000"/>
          <w:sz w:val="20"/>
        </w:rPr>
      </w:pPr>
      <w:r>
        <w:rPr>
          <w:rFonts w:ascii="Arial" w:hAnsi="Arial" w:eastAsia="Arial" w:cs="Arial"/>
          <w:color w:val="000000"/>
          <w:sz w:val="20"/>
        </w:rPr>
        <w:t xml:space="preserve">Funding is subject to achieving the performance targets specified in Schedule 2 of the Service Agreement. </w:t>
      </w:r>
    </w:p>
    <w:p>
      <w:pPr>
        <w:spacing w:before="100" w:line="288" w:lineRule="auto"/>
        <w:ind w:left="111" w:right="105"/>
        <w:rPr>
          <w:rFonts w:ascii="Arial" w:hAnsi="Arial" w:eastAsia="Arial" w:cs="Arial"/>
          <w:b/>
          <w:bCs/>
          <w:color w:val="000000"/>
          <w:sz w:val="20"/>
        </w:rPr>
      </w:pPr>
      <w:r>
        <w:rPr>
          <w:rFonts w:ascii="Arial" w:hAnsi="Arial" w:eastAsia="Arial" w:cs="Arial"/>
          <w:color w:val="000000"/>
          <w:sz w:val="20"/>
        </w:rPr>
        <w:t>Performance is measured as follows:</w:t>
      </w:r>
      <w:r>
        <w:rPr>
          <w:rFonts w:ascii="Arial" w:hAnsi="Arial" w:eastAsia="Arial" w:cs="Arial"/>
          <w:b/>
          <w:bCs/>
          <w:color w:val="000000"/>
          <w:sz w:val="20"/>
        </w:rPr>
        <w:t xml:space="preserve"> </w:t>
      </w:r>
    </w:p>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Key performance measure 1: Number of new support periods</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count number of support periods to children experiencing homelessness.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performance measure target is provided in the Service Agreement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Count the number of new support periods which commenced during the reporting period. </w:t>
            </w:r>
            <w:r>
              <w:br/>
            </w:r>
            <w:r>
              <w:rPr>
                <w:rFonts w:ascii="Arial" w:hAnsi="Arial" w:eastAsia="Arial" w:cs="Arial"/>
                <w:color w:val="000000"/>
                <w:sz w:val="20"/>
              </w:rPr>
              <w:t xml:space="preserve">A support period starts on the day the client first receives support from your agency.   </w:t>
            </w:r>
            <w:r>
              <w:br/>
            </w:r>
            <w:r>
              <w:rPr>
                <w:rFonts w:ascii="Arial" w:hAnsi="Arial" w:eastAsia="Arial" w:cs="Arial"/>
                <w:color w:val="000000"/>
                <w:sz w:val="20"/>
              </w:rPr>
              <w:t xml:space="preserve">If a client’s support period has been closed and the client presents again in a new reporting month and is provided with support, this will be counted as a new support period. </w:t>
            </w:r>
            <w:r>
              <w:br/>
            </w:r>
            <w:r>
              <w:rPr>
                <w:rFonts w:ascii="Arial" w:hAnsi="Arial" w:eastAsia="Arial" w:cs="Arial"/>
                <w:color w:val="000000"/>
                <w:sz w:val="20"/>
              </w:rPr>
              <w:t xml:space="preserve">Clients are counted once in a support period (noting that a support period may span across several months).   </w:t>
            </w:r>
            <w:r>
              <w:br/>
            </w:r>
            <w:r>
              <w:rPr>
                <w:rFonts w:ascii="Arial" w:hAnsi="Arial" w:eastAsia="Arial" w:cs="Arial"/>
                <w:color w:val="000000"/>
                <w:sz w:val="20"/>
              </w:rPr>
              <w:t>Annual targets provided to service providers are divided by 12 to translate to indicative monthly targets.</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Specialist Homelessness Services Collection</w:t>
            </w:r>
          </w:p>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Service Delivery Tracking (SDT)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 client is defined as a child up to 12 years old receiving case management through this activity. </w:t>
            </w:r>
            <w:r>
              <w:br/>
            </w:r>
            <w:r>
              <w:rPr>
                <w:rFonts w:ascii="Arial" w:hAnsi="Arial" w:eastAsia="Arial" w:cs="Arial"/>
                <w:color w:val="000000"/>
                <w:sz w:val="20"/>
              </w:rPr>
              <w:t xml:space="preserve">A support period starts on the day the client first receives support from your agency.   </w:t>
            </w:r>
            <w:r>
              <w:br/>
            </w:r>
            <w:r>
              <w:rPr>
                <w:rFonts w:ascii="Arial" w:hAnsi="Arial" w:eastAsia="Arial" w:cs="Arial"/>
                <w:color w:val="000000"/>
                <w:sz w:val="20"/>
              </w:rPr>
              <w:t xml:space="preserve">A support period ends when: </w:t>
            </w:r>
            <w:r>
              <w:br/>
            </w:r>
            <w:r>
              <w:rPr>
                <w:rFonts w:ascii="Arial" w:hAnsi="Arial" w:eastAsia="Arial" w:cs="Arial"/>
                <w:color w:val="000000"/>
                <w:sz w:val="20"/>
              </w:rPr>
              <w:t xml:space="preserve">• the relationship between the client and organisation ends </w:t>
            </w:r>
            <w:r>
              <w:br/>
            </w:r>
            <w:r>
              <w:rPr>
                <w:rFonts w:ascii="Arial" w:hAnsi="Arial" w:eastAsia="Arial" w:cs="Arial"/>
                <w:color w:val="000000"/>
                <w:sz w:val="20"/>
              </w:rPr>
              <w:t xml:space="preserve">• the client has received the maximum support your agency can offer </w:t>
            </w:r>
            <w:r>
              <w:br/>
            </w:r>
            <w:r>
              <w:rPr>
                <w:rFonts w:ascii="Arial" w:hAnsi="Arial" w:eastAsia="Arial" w:cs="Arial"/>
                <w:color w:val="000000"/>
                <w:sz w:val="20"/>
              </w:rPr>
              <w:t xml:space="preserve">• a client has not received any service from your agency for a whole calendar month and there is no ongoing relationship. </w:t>
            </w:r>
            <w:r>
              <w:br/>
            </w:r>
            <w:r>
              <w:rPr>
                <w:rFonts w:ascii="Arial" w:hAnsi="Arial" w:eastAsia="Arial" w:cs="Arial"/>
                <w:color w:val="000000"/>
                <w:sz w:val="20"/>
              </w:rPr>
              <w:t xml:space="preserve">A support period refers to the provision of support to a client, which includes a case assessment taking place. </w:t>
            </w:r>
            <w:r>
              <w:br/>
            </w:r>
            <w:r>
              <w:rPr>
                <w:rFonts w:ascii="Arial" w:hAnsi="Arial" w:eastAsia="Arial" w:cs="Arial"/>
                <w:color w:val="000000"/>
                <w:sz w:val="20"/>
              </w:rPr>
              <w:t xml:space="preserve">In Victoria a service comprises episodes of support which are defined in line with the SHSC data collection definition of a support period. </w:t>
            </w:r>
            <w:r>
              <w:br/>
            </w:r>
            <w:r>
              <w:rPr>
                <w:rFonts w:ascii="Arial" w:hAnsi="Arial" w:eastAsia="Arial" w:cs="Arial"/>
                <w:color w:val="000000"/>
                <w:sz w:val="20"/>
              </w:rPr>
              <w:t>Detailed information is contained in the Specialist Homelessness Services Collection Resources.</w:t>
            </w:r>
          </w:p>
        </w:tc>
      </w:tr>
    </w:tbl>
    <w:p>
      <w:pPr>
        <w:spacing w:before="100" w:line="288" w:lineRule="auto"/>
        <w:ind w:left="111" w:right="105"/>
        <w:rPr>
          <w:rFonts w:ascii="Arial" w:hAnsi="Arial" w:eastAsia="Arial" w:cs="Arial"/>
          <w:b/>
          <w:bCs/>
          <w:color w:val="201547"/>
          <w:sz w:val="20"/>
        </w:rPr>
      </w:pPr>
      <w:r>
        <w:rPr>
          <w:rFonts w:ascii="Arial" w:hAnsi="Arial" w:eastAsia="Arial" w:cs="Arial"/>
          <w:b/>
          <w:bCs/>
          <w:color w:val="201547"/>
          <w:sz w:val="20"/>
        </w:rPr>
        <w:t>Performance measure 2: Percentage of clients with an agreed case plan</w:t>
      </w:r>
    </w:p>
    <w:tbl>
      <w:tblPr>
        <w:tblW w:w="0" w:type="auto"/>
        <w:tblInd w:w="111" w:type="dxa"/>
        <w:tblLayout w:type="fixed"/>
        <w:tblCellMar>
          <w:left w:w="0" w:type="dxa"/>
          <w:right w:w="0" w:type="dxa"/>
        </w:tblCellMar>
      </w:tblPr>
      <w:tblGrid>
        <w:gridCol w:w="2835"/>
        <w:gridCol w:w="7379"/>
      </w:tblGrid>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Aim/objective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The aim of this performance measure is to monitor the percentage of clients with an agreed case plan.</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Target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90 per cent</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Type of count</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Cumulative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Counting rule</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The percentage is calculated as the number of children who are assisted to identify goals and to develop a case plan, divided by the total number of clients. </w:t>
            </w:r>
            <w:r>
              <w:br/>
            </w:r>
            <w:r>
              <w:rPr>
                <w:rFonts w:ascii="Arial" w:hAnsi="Arial" w:eastAsia="Arial" w:cs="Arial"/>
                <w:color w:val="000000"/>
                <w:sz w:val="20"/>
              </w:rPr>
              <w:t>The number of clients who are assisted to identify goals and to develop a case plan is required to be reported as a data collection item, in addition to the percentage calculated above.</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source(s) collection</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numPr>
                <w:ilvl w:val="0"/>
                <w:numId w:val="7"/>
              </w:numPr>
              <w:spacing w:line="270" w:lineRule="atLeast"/>
              <w:rPr>
                <w:rFonts w:ascii="Arial" w:hAnsi="Arial" w:eastAsia="Arial" w:cs="Arial"/>
                <w:color w:val="000000"/>
                <w:sz w:val="20"/>
              </w:rPr>
            </w:pPr>
            <w:r>
              <w:rPr>
                <w:rFonts w:ascii="Arial" w:hAnsi="Arial" w:eastAsia="Arial" w:cs="Arial"/>
                <w:color w:val="000000"/>
                <w:sz w:val="20"/>
              </w:rPr>
              <w:t>Specialist Homelessness Services Collection</w:t>
            </w:r>
          </w:p>
        </w:tc>
      </w:tr>
      <w:tr>
        <w:trPr>
          <w:cantSplit/>
        </w:trPr>
        <w:tc>
          <w:tcPr>
            <w:tcW w:w="2835"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Definition of terms</w:t>
            </w:r>
          </w:p>
        </w:tc>
        <w:tc>
          <w:tcPr>
            <w:tcW w:w="7379" w:type="dxa"/>
            <w:tcBorders>
              <w:top w:val="single" w:sz="4" w:space="0" w:color="000000"/>
              <w:bottom w:val="single" w:sz="4" w:space="0" w:color="000000"/>
              <w:left w:val="single" w:sz="4" w:space="0" w:color="000000"/>
              <w:right w:val="single" w:sz="4" w:space="0" w:color="000000"/>
            </w:tcBorders>
            <w:shd w:val="clear" w:color="auto" w:fill="FFFFFF"/>
          </w:tcPr>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 case plan is a personal plan or a support agreement that usually has a statement of the client’s problems or needs, some goals for the client and strategies to achieve those goals. </w:t>
            </w:r>
            <w:r>
              <w:br/>
            </w:r>
            <w:r>
              <w:rPr>
                <w:rFonts w:ascii="Arial" w:hAnsi="Arial" w:eastAsia="Arial" w:cs="Arial"/>
                <w:color w:val="000000"/>
                <w:sz w:val="20"/>
              </w:rPr>
              <w:t>Every client is expected to have a case plan.</w:t>
            </w:r>
          </w:p>
        </w:tc>
      </w:tr>
    </w:tbl>
    <w:p>
      <w:pPr>
        <w:keepNext/>
        <w:keepLines/>
        <w:spacing w:before="320" w:after="200" w:line="440" w:lineRule="atLeast"/>
        <w:ind w:left="111" w:right="105"/>
        <w:rPr>
          <w:rFonts w:ascii="Arial" w:hAnsi="Arial" w:eastAsia="Arial" w:cs="Arial"/>
          <w:b/>
          <w:bCs/>
          <w:color w:val="201547"/>
          <w:sz w:val="28"/>
        </w:rPr>
      </w:pPr>
      <w:r>
        <w:rPr>
          <w:rFonts w:ascii="Arial" w:hAnsi="Arial" w:eastAsia="Arial" w:cs="Arial"/>
          <w:b/>
          <w:bCs/>
          <w:color w:val="201547"/>
          <w:sz w:val="28"/>
        </w:rPr>
        <w:t>6. Data collection</w:t>
      </w:r>
    </w:p>
    <w:p>
      <w:pPr>
        <w:spacing w:line="288" w:lineRule="auto"/>
        <w:ind w:left="111" w:right="105"/>
        <w:rPr>
          <w:rFonts w:ascii="Arial" w:hAnsi="Arial" w:eastAsia="Arial" w:cs="Arial"/>
          <w:b/>
          <w:bCs/>
          <w:color w:val="000000"/>
          <w:sz w:val="20"/>
        </w:rPr>
      </w:pPr>
      <w:r>
        <w:rPr>
          <w:rFonts w:ascii="Arial" w:hAnsi="Arial" w:eastAsia="Arial" w:cs="Arial"/>
          <w:color w:val="000000"/>
          <w:sz w:val="20"/>
        </w:rPr>
        <w:t>The reporting requirements for this service are:</w:t>
      </w:r>
      <w:r>
        <w:rPr>
          <w:rFonts w:ascii="Arial" w:hAnsi="Arial" w:eastAsia="Arial" w:cs="Arial"/>
          <w:b/>
          <w:bCs/>
          <w:color w:val="000000"/>
          <w:sz w:val="20"/>
        </w:rPr>
        <w:t xml:space="preserve"> </w:t>
      </w:r>
      <w:r>
        <w:rPr>
          <w:rFonts w:ascii="Arial" w:hAnsi="Arial" w:eastAsia="Arial" w:cs="Arial"/>
          <w:b/>
          <w:bCs/>
          <w:color w:val="000000"/>
          <w:sz w:val="20"/>
        </w:rPr>
        <w:t/>
      </w:r>
    </w:p>
    <w:tbl>
      <w:tblPr>
        <w:tblW w:w="0" w:type="auto"/>
        <w:tblInd w:w="111" w:type="dxa"/>
        <w:tblLayout w:type="fixed"/>
        <w:tblCellMar>
          <w:left w:w="0" w:type="dxa"/>
          <w:right w:w="0" w:type="dxa"/>
        </w:tblCellMar>
      </w:tblPr>
      <w:tblGrid>
        <w:gridCol w:w="2580"/>
        <w:gridCol w:w="2580"/>
        <w:gridCol w:w="2580"/>
        <w:gridCol w:w="2508"/>
      </w:tblGrid>
      <w:tr>
        <w:trPr>
          <w:tblHeader/>
        </w:trP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Data collection name</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system</w:t>
            </w:r>
            <w:r>
              <w:rPr>
                <w:rFonts w:ascii="Arial" w:hAnsi="Arial" w:eastAsia="Arial" w:cs="Arial"/>
                <w:b/>
                <w:bCs/>
                <w:color w:val="000000"/>
                <w:sz w:val="20"/>
              </w:rPr>
              <w:t xml:space="preserve">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000000"/>
                <w:sz w:val="20"/>
              </w:rPr>
            </w:pPr>
            <w:r>
              <w:rPr>
                <w:rFonts w:ascii="Arial" w:hAnsi="Arial" w:eastAsia="Arial" w:cs="Arial"/>
                <w:b/>
                <w:bCs/>
                <w:color w:val="201547"/>
                <w:sz w:val="20"/>
              </w:rPr>
              <w:t>Data set</w:t>
            </w:r>
            <w:r>
              <w:rPr>
                <w:rFonts w:ascii="Arial" w:hAnsi="Arial" w:eastAsia="Arial" w:cs="Arial"/>
                <w:b/>
                <w:bCs/>
                <w:color w:val="000000"/>
                <w:sz w:val="20"/>
              </w:rPr>
              <w:t xml:space="preserv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b/>
                <w:bCs/>
                <w:color w:val="201547"/>
                <w:sz w:val="20"/>
              </w:rPr>
            </w:pPr>
            <w:r>
              <w:rPr>
                <w:rFonts w:ascii="Arial" w:hAnsi="Arial" w:eastAsia="Arial" w:cs="Arial"/>
                <w:b/>
                <w:bCs/>
                <w:color w:val="201547"/>
                <w:sz w:val="20"/>
              </w:rPr>
              <w:t>Reporting cycle</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Specialist Homelessness Services Collection</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SHIP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SHSC provided to DFFH and the Australian Institute of Health and Welfare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r>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Service Delivery Tracking (SDT)</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My Agency/SAM </w:t>
            </w:r>
          </w:p>
        </w:tc>
        <w:tc>
          <w:tcPr>
            <w:tcW w:w="2580"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Service delivery tracking data set </w:t>
            </w:r>
          </w:p>
        </w:tc>
        <w:tc>
          <w:tcPr>
            <w:tcW w:w="2508" w:type="dxa"/>
            <w:tcBorders>
              <w:top w:val="single" w:sz="4" w:space="0" w:color="000000"/>
              <w:bottom w:val="single" w:sz="4" w:space="0" w:color="000000"/>
              <w:left w:val="single" w:sz="4" w:space="0" w:color="000000"/>
              <w:right w:val="single" w:sz="4" w:space="0" w:color="000000"/>
            </w:tcBorders>
            <w:shd w:val="clear" w:color="auto" w:fill="FFFFFF"/>
          </w:tcPr>
          <w:p>
            <w:pPr>
              <w:spacing w:before="100" w:line="288" w:lineRule="auto"/>
              <w:ind w:left="108" w:right="108"/>
              <w:rPr>
                <w:rFonts w:ascii="Arial" w:hAnsi="Arial" w:eastAsia="Arial" w:cs="Arial"/>
                <w:color w:val="000000"/>
                <w:sz w:val="20"/>
              </w:rPr>
            </w:pPr>
            <w:r>
              <w:rPr>
                <w:rFonts w:ascii="Arial" w:hAnsi="Arial" w:eastAsia="Arial" w:cs="Arial"/>
                <w:color w:val="000000"/>
                <w:sz w:val="20"/>
              </w:rPr>
              <w:t>Monthly</w:t>
            </w:r>
          </w:p>
        </w:tc>
      </w:tr>
    </w:tbl>
    <w:p>
      <w:pPr>
        <w:spacing w:before="100" w:line="288" w:lineRule="auto"/>
        <w:ind w:left="111" w:right="105"/>
        <w:rPr>
          <w:rFonts w:ascii="Arial" w:hAnsi="Arial" w:eastAsia="Arial" w:cs="Arial"/>
          <w:color w:val="000000"/>
          <w:sz w:val="18"/>
        </w:rPr>
      </w:pPr>
      <w:r>
        <w:rPr>
          <w:rFonts w:ascii="Arial" w:hAnsi="Arial" w:eastAsia="Arial" w:cs="Arial"/>
          <w:color w:val="000000"/>
          <w:sz w:val="18"/>
        </w:rPr>
        <w:t/>
      </w:r>
    </w:p>
    <w:tbl>
      <w:tblPr>
        <w:tblW w:w="0" w:type="auto"/>
        <w:tblInd w:w="111" w:type="dxa"/>
        <w:tblLayout w:type="fixed"/>
        <w:tblCellMar>
          <w:left w:w="0" w:type="dxa"/>
          <w:right w:w="0" w:type="dxa"/>
        </w:tblCellMar>
      </w:tblPr>
      <w:tblGrid>
        <w:gridCol w:w="10204"/>
      </w:tblGrid>
      <w:tr>
        <w:trPr>
          <w:cantSplit/>
        </w:trPr>
        <w:tc>
          <w:tcPr>
            <w:tcW w:w="10204" w:type="dxa"/>
            <w:tcBorders>
              <w:top w:val="single" w:sz="4" w:space="0" w:color="000000"/>
              <w:bottom w:val="single" w:sz="4" w:space="0" w:color="000000"/>
              <w:left w:val="single" w:sz="4" w:space="0" w:color="000000"/>
              <w:right w:val="single" w:sz="4" w:space="0" w:color="000000"/>
            </w:tcBorders>
            <w:vAlign w:val="bottom"/>
            <w:shd w:val="clear" w:color="auto" w:fill="FFFFFF"/>
          </w:tcPr>
          <w:p>
            <w:pPr>
              <w:keepLines/>
              <w:spacing w:before="100" w:line="288" w:lineRule="auto"/>
              <w:ind w:left="108" w:right="108"/>
              <w:rPr>
                <w:rFonts w:ascii="Arial" w:hAnsi="Arial" w:eastAsia="Arial" w:cs="Arial"/>
                <w:color w:val="3366FF"/>
                <w:sz w:val="24"/>
              </w:rPr>
            </w:pPr>
            <w:r>
              <w:rPr>
                <w:rFonts w:ascii="Arial" w:hAnsi="Arial" w:eastAsia="Arial" w:cs="Arial"/>
                <w:color w:val="000000"/>
                <w:sz w:val="24"/>
              </w:rPr>
              <w:t xml:space="preserve">To receive this publication in an accessible format, email </w:t>
            </w:r>
            <w:r>
              <w:rPr>
                <w:rFonts w:ascii="Arial" w:hAnsi="Arial" w:eastAsia="Arial" w:cs="Arial"/>
                <w:color w:val="3366FF"/>
                <w:sz w:val="24"/>
              </w:rPr>
              <w:t>Monitoring Framework Helpdesk &lt;monitoringframework.helpdesk@dffh.vic.gov.au&gt;</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Authorised and published by the Victorian Government, 1 Treasury Place, Melbourne.</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 xml:space="preserve">© State of Victoria, Australia, Department of Families, Fairness and Housing, </w:t>
            </w:r>
            <w:r>
              <w:rPr>
                <w:rFonts w:ascii="Arial" w:hAnsi="Arial" w:eastAsia="Arial" w:cs="Arial"/>
                <w:color w:val="000000"/>
                <w:sz w:val="16"/>
              </w:rPr>
              <w:t>July 2024</w:t>
            </w:r>
            <w:r>
              <w:rPr>
                <w:rFonts w:ascii="Arial" w:hAnsi="Arial" w:eastAsia="Arial" w:cs="Arial"/>
                <w:color w:val="000000"/>
                <w:sz w:val="16"/>
              </w:rPr>
              <w:t xml:space="preserve">. </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In this document, ‘Aboriginal’ refers to both Aboriginal and Torres Strait Islander people. ‘Indigenous’ or ‘Koori/Koorie' is retained when part of the title of a report, program or quotation.</w:t>
            </w:r>
          </w:p>
          <w:p>
            <w:pPr>
              <w:keepLines/>
              <w:spacing w:before="100" w:line="288" w:lineRule="auto"/>
              <w:ind w:left="108" w:right="108"/>
              <w:rPr>
                <w:rFonts w:ascii="Arial" w:hAnsi="Arial" w:eastAsia="Arial" w:cs="Arial"/>
                <w:color w:val="000000"/>
                <w:sz w:val="16"/>
              </w:rPr>
            </w:pPr>
            <w:r>
              <w:rPr>
                <w:rFonts w:ascii="Arial" w:hAnsi="Arial" w:eastAsia="Arial" w:cs="Arial"/>
                <w:color w:val="000000"/>
                <w:sz w:val="16"/>
              </w:rPr>
              <w:t>ISSN 2653-0929 – Online (PDF/Word)</w:t>
            </w:r>
          </w:p>
          <w:p>
            <w:pPr>
              <w:keepLines/>
              <w:spacing w:before="100" w:line="288" w:lineRule="auto"/>
              <w:ind w:left="108" w:right="108"/>
              <w:rPr>
                <w:rFonts w:ascii="Arial" w:hAnsi="Arial" w:eastAsia="Arial" w:cs="Arial"/>
                <w:color w:val="000000"/>
                <w:sz w:val="20"/>
              </w:rPr>
            </w:pPr>
            <w:r>
              <w:rPr>
                <w:rFonts w:ascii="Arial" w:hAnsi="Arial" w:eastAsia="Arial" w:cs="Arial"/>
                <w:color w:val="000000"/>
                <w:sz w:val="20"/>
              </w:rPr>
              <w:t xml:space="preserve">Available at </w:t>
            </w:r>
            <w:r>
              <w:rPr>
                <w:rFonts w:ascii="Arial" w:hAnsi="Arial" w:eastAsia="Arial" w:cs="Arial"/>
                <w:color w:val="3366FF"/>
                <w:sz w:val="20"/>
              </w:rPr>
              <w:t xml:space="preserve">Department of Families, Fairness and Housing and Department of Health </w:t>
            </w:r>
            <w:r>
              <w:rPr>
                <w:rFonts w:ascii="Arial" w:hAnsi="Arial" w:eastAsia="Arial" w:cs="Arial"/>
                <w:color w:val="000000"/>
                <w:sz w:val="20"/>
              </w:rPr>
              <w:t>activity search</w:t>
            </w:r>
          </w:p>
          <w:p>
            <w:pPr>
              <w:keepLines/>
              <w:spacing w:before="100" w:line="288" w:lineRule="auto"/>
              <w:ind w:left="108" w:right="108"/>
              <w:rPr>
                <w:rFonts w:ascii="Arial" w:hAnsi="Arial" w:eastAsia="Arial" w:cs="Arial"/>
                <w:color w:val="000000"/>
                <w:sz w:val="20"/>
              </w:rPr>
            </w:pPr>
            <w:hyperlink r:id="rId19" w:tgtFrame="_blank" w:history="1">
              <w:r>
                <w:rPr>
                  <w:rFonts w:ascii="Arial" w:hAnsi="Arial" w:eastAsia="Arial" w:cs="Arial"/>
                  <w:color w:val="3366FF"/>
                  <w:sz w:val="20"/>
                </w:rPr>
                <w:t>&lt;http://providers.dffh.vic.gov.au/families-fairness-housing-health-activity-search</w:t>
              </w:r>
            </w:hyperlink>
            <w:r>
              <w:rPr>
                <w:rFonts w:ascii="Arial" w:hAnsi="Arial" w:eastAsia="Arial" w:cs="Arial"/>
                <w:color w:val="000000"/>
                <w:sz w:val="20"/>
              </w:rPr>
              <w:t>&gt;</w:t>
            </w:r>
          </w:p>
        </w:tc>
      </w:tr>
    </w:tbl>
    <w:p>
      <w:pPr>
        <w:spacing w:before="100" w:line="288" w:lineRule="auto"/>
        <w:ind w:left="111" w:right="105"/>
        <w:rPr>
          <w:rFonts w:ascii="Arial" w:hAnsi="Arial" w:eastAsia="Arial" w:cs="Arial"/>
          <w:color w:val="000000"/>
          <w:sz w:val="18"/>
        </w:rPr>
      </w:pPr>
      <w:bookmarkStart w:id="0" w:name="page_total_master0"/>
      <w:r>
        <w:rPr>
          <w:rFonts w:ascii="Arial" w:hAnsi="Arial" w:eastAsia="Arial" w:cs="Arial"/>
          <w:color w:val="000000"/>
          <w:sz w:val="18"/>
        </w:rPr>
        <w:t/>
      </w:r>
      <w:bookmarkEnd w:id="0"/>
      <w:bookmarkStart w:id="1" w:name="page_total"/>
      <w:r>
        <w:rPr>
          <w:rFonts w:ascii="Arial" w:hAnsi="Arial" w:eastAsia="Arial" w:cs="Arial"/>
          <w:color w:val="000000"/>
          <w:sz w:val="18"/>
        </w:rPr>
        <w:t/>
      </w:r>
      <w:bookmarkEnd w:id="1"/>
    </w:p>
    <w:sectPr>
      <w:headerReference w:type="default" r:id="rId6"/>
      <w:headerReference w:type="first" r:id="rId7"/>
      <w:footerReference w:type="default" r:id="rId8"/>
      <w:footerReference w:type="first" r:id="rId9"/>
      <w:pgSz w:w="11900" w:h="16820"/>
      <w:pgMar w:top="560" w:right="740" w:bottom="1120" w:left="740" w:header="567" w:footer="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428"/>
        <w:tab w:val="left" w:pos="9123"/>
        <w:tab w:val="right" w:pos="10314"/>
      </w:tabs>
      <w:ind w:left="111" w:right="105"/>
      <w:rPr/>
    </w:pPr>
    <w:r>
      <w:rPr>
        <w:rFonts w:ascii="Arial" w:hAnsi="Arial" w:eastAsia="Arial" w:cs="Arial"/>
        <w:color w:val="000000"/>
        <w:sz w:val="18"/>
      </w:rPr>
      <w:tab/>
    </w:r>
  </w:p>
  <w:tbl>
    <w:tblPr>
      <w:tblW w:w="0" w:type="auto"/>
      <w:tblInd w:w="-177" w:type="dxa"/>
      <w:tblLayout w:type="fixed"/>
      <w:tblCellMar>
        <w:left w:w="0" w:type="dxa"/>
        <w:right w:w="0" w:type="dxa"/>
      </w:tblCellMar>
    </w:tblPr>
    <w:tblGrid>
      <w:gridCol w:w="3473"/>
      <w:gridCol w:w="3473"/>
      <w:gridCol w:w="3692"/>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692" w:type="dxa"/>
          <w:shd w:val="clear" w:color="auto" w:fill="FFFFFF"/>
        </w:tcPr>
        <w:p>
          <w:pPr>
            <w:tabs>
              <w:tab w:val="right" w:pos="10314"/>
            </w:tabs>
            <w:spacing w:before="240"/>
            <w:ind w:left="108"/>
            <w:jc w:val="center"/>
            <w:rPr>
              <w:rFonts w:ascii="Arial" w:hAnsi="Arial" w:eastAsia="Arial" w:cs="Arial"/>
              <w:color w:val="000000"/>
              <w:sz w:val="18"/>
            </w:rPr>
          </w:pPr>
          <w:r>
            <w:rPr>
              <w:rFonts w:ascii="Arial" w:hAnsi="Arial" w:eastAsia="Arial" w:cs="Arial"/>
              <w:color w:val="000000"/>
              <w:sz w:val="18"/>
            </w:rPr>
            <w:t xml:space="preserve">             </w:t>
          </w:r>
        </w:p>
        <w:p>
          <w:pPr>
            <w:tabs>
              <w:tab w:val="right" w:pos="10314"/>
            </w:tabs>
            <w:spacing w:before="240"/>
            <w:ind w:left="108"/>
            <w:jc w:val="center"/>
            <w:rPr/>
          </w:pPr>
          <w:r>
            <w:rPr>
              <w:noProof/>
            </w:rPr>
            <w:drawing>
              <wp:inline distT="0" distB="0" distL="0" distR="0">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ind w:left="111" w:right="105"/>
      <w:jc w:val="center"/>
      <w:rPr>
        <w:rFonts w:ascii="Arial" w:hAnsi="Arial" w:eastAsia="Arial" w:cs="Arial"/>
        <w:color w:val="000000"/>
        <w:sz w:val="20"/>
      </w:rPr>
    </w:pPr>
    <w:r>
      <w:rPr>
        <w:rFonts w:ascii="Arial" w:hAnsi="Arial" w:eastAsia="Arial" w:cs="Arial"/>
        <w:color w:val="000000"/>
        <w:sz w:val="20"/>
      </w:rPr>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77" w:type="dxa"/>
      <w:tblLayout w:type="fixed"/>
      <w:tblCellMar>
        <w:left w:w="0" w:type="dxa"/>
        <w:right w:w="0" w:type="dxa"/>
      </w:tblCellMar>
    </w:tblPr>
    <w:tblGrid>
      <w:gridCol w:w="3473"/>
      <w:gridCol w:w="3473"/>
      <w:gridCol w:w="3473"/>
    </w:tblGrid>
    <w:tr>
      <w:tc>
        <w:tcPr>
          <w:tcW w:w="3473" w:type="dxa"/>
          <w:shd w:val="clear" w:color="auto" w:fill="FFFFFF"/>
        </w:tcPr>
        <w:p>
          <w:pPr>
            <w:ind w:left="108" w:right="108"/>
            <w:rPr/>
          </w:pPr>
        </w:p>
      </w:tc>
      <w:tc>
        <w:tcPr>
          <w:tcW w:w="3473" w:type="dxa"/>
          <w:vAlign w:val="bottom"/>
          <w:shd w:val="clear" w:color="auto" w:fill="FFFFFF"/>
        </w:tcPr>
        <w:p>
          <w:pPr>
            <w:tabs>
              <w:tab w:val="right" w:pos="10314"/>
            </w:tabs>
            <w:spacing w:before="240"/>
            <w:ind w:left="108" w:right="108"/>
            <w:jc w:val="center"/>
            <w:rPr>
              <w:rFonts w:ascii="Arial" w:hAnsi="Arial" w:eastAsia="Arial" w:cs="Arial"/>
              <w:b/>
              <w:bCs/>
              <w:color w:val="000000"/>
              <w:sz w:val="20"/>
            </w:rPr>
          </w:pPr>
          <w:r>
            <w:rPr>
              <w:rFonts w:ascii="Arial" w:hAnsi="Arial" w:eastAsia="Arial" w:cs="Arial"/>
              <w:b/>
              <w:bCs/>
              <w:color w:val="000000"/>
              <w:sz w:val="20"/>
            </w:rPr>
            <w:t xml:space="preserve">OFFICIAL                                                                </w:t>
          </w:r>
        </w:p>
      </w:tc>
      <w:tc>
        <w:tcPr>
          <w:tcW w:w="3473" w:type="dxa"/>
          <w:shd w:val="clear" w:color="auto" w:fill="FFFFFF"/>
        </w:tcPr>
        <w:p>
          <w:pPr>
            <w:tabs>
              <w:tab w:val="right" w:pos="10314"/>
            </w:tabs>
            <w:spacing w:before="240"/>
            <w:ind w:left="108"/>
            <w:jc w:val="center"/>
            <w:rPr/>
          </w:pPr>
          <w:r>
            <w:rPr>
              <w:noProof/>
            </w:rPr>
            <w:drawing>
              <wp:inline distT="0" distB="0" distL="0" distR="0">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pPr>
      <w:tabs>
        <w:tab w:val="right" w:pos="10314"/>
      </w:tabs>
      <w:spacing w:before="240"/>
      <w:ind w:left="111" w:right="105"/>
      <w:rPr>
        <w:rFonts w:ascii="Arial" w:hAnsi="Arial" w:eastAsia="Arial" w:cs="Arial"/>
        <w:color w:val="000000"/>
        <w:sz w:val="18"/>
      </w:rPr>
    </w:pPr>
    <w:r>
      <w:rPr>
        <w:rFonts w:ascii="Arial" w:hAnsi="Arial" w:eastAsia="Arial" w:cs="Arial"/>
        <w:color w:val="000000"/>
        <w:sz w:val="1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left" w:pos="408"/>
        <w:tab w:val="right" w:pos="10312"/>
      </w:tabs>
      <w:ind w:left="111" w:right="105"/>
      <w:rPr>
        <w:rFonts w:ascii="Arial" w:hAnsi="Arial" w:eastAsia="Arial" w:cs="Arial"/>
        <w:color w:val="000000"/>
        <w:sz w:val="18"/>
      </w:rPr>
    </w:pPr>
    <w:r>
      <w:rPr>
        <w:rFonts w:ascii="Arial" w:hAnsi="Arial" w:eastAsia="Arial" w:cs="Arial"/>
        <w:color w:val="000000"/>
        <w:sz w:val="18"/>
      </w:rPr>
      <w:t>Housing Assistance 94655 Homelessness Children's Program</w:t>
    </w:r>
    <w:r>
      <w:rPr>
        <w:rFonts w:ascii="Arial" w:hAnsi="Arial" w:eastAsia="Arial" w:cs="Arial"/>
        <w:color w:val="000000"/>
        <w:sz w:val="18"/>
      </w:rPr>
      <w:tab/>
    </w:r>
    <w:r>
      <w:rPr>
        <w:rFonts w:ascii="Arial" w:hAnsi="Arial" w:eastAsia="Arial" w:cs="Arial"/>
        <w:color w:val="000000"/>
        <w:sz w:val="18"/>
      </w:rPr>
      <w:fldChar w:fldCharType="begin"/>
    </w:r>
    <w:r>
      <w:rPr>
        <w:rFonts w:ascii="Arial" w:hAnsi="Arial" w:eastAsia="Arial" w:cs="Arial"/>
        <w:color w:val="000000"/>
        <w:sz w:val="18"/>
      </w:rPr>
      <w:instrText xml:space="preserve"> PAGE   \* MERGEFORMAT </w:instrText>
    </w:r>
    <w:r>
      <w:rPr>
        <w:rFonts w:ascii="Arial" w:hAnsi="Arial" w:eastAsia="Arial" w:cs="Arial"/>
        <w:color w:val="000000"/>
        <w:sz w:val="18"/>
      </w:rPr>
      <w:fldChar w:fldCharType="separate"/>
    </w:r>
    <w:r>
      <w:rPr>
        <w:rFonts w:ascii="Arial" w:hAnsi="Arial" w:eastAsia="Arial" w:cs="Arial"/>
        <w:color w:val="000000"/>
        <w:sz w:val="18"/>
      </w:rPr>
      <w:t>1</w:t>
    </w:r>
    <w:r>
      <w:rPr>
        <w:rFonts w:ascii="Arial" w:hAnsi="Arial" w:eastAsia="Arial" w:cs="Arial"/>
        <w:color w:val="000000"/>
        <w:sz w:val="18"/>
      </w:rPr>
      <w:fldChar w:fldCharType="end"/>
    </w:r>
  </w:p>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tabs>
        <w:tab w:val="right" w:pos="10314"/>
      </w:tabs>
      <w:ind w:left="111" w:right="105"/>
      <w:rPr>
        <w:rFonts w:ascii="Arial" w:hAnsi="Arial" w:eastAsia="Arial" w:cs="Arial"/>
        <w:color w:val="000000"/>
        <w:sz w:val="18"/>
      </w:rPr>
    </w:pPr>
    <w:r>
      <w:rPr>
        <w:rFonts w:ascii="Arial" w:hAnsi="Arial" w:eastAsia="Arial" w:cs="Arial"/>
        <w:color w:val="000000"/>
        <w:sz w:val="18"/>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2">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3">
    <w:multiLevelType w:val="hybridMultilevel"/>
    <w:lvl w:ilvl="0">
      <w:start w:val="1"/>
      <w:numFmt w:val="bullet"/>
      <w:lvlText w:val=""/>
      <w:lvlJc w:val="start"/>
      <w:pPr>
        <w:ind w:left="392" w:hanging="284"/>
      </w:pPr>
      <w:rPr>
        <w:rFonts w:ascii="Symbol" w:hAnsi="Symbol" w:eastAsia="Symbol" w:cs="Symbol" w:hint="default"/>
        <w:color w:val="000000"/>
        <w:sz w:val="24"/>
      </w:rPr>
    </w:lvl>
    <w:lvl w:ilvl="1">
      <w:start w:val="1"/>
      <w:numFmt w:val="bullet"/>
      <w:lvlText w:val=""/>
      <w:lvlJc w:val="start"/>
      <w:pPr>
        <w:ind w:left="392" w:hanging="284"/>
      </w:pPr>
      <w:rPr>
        <w:rFonts w:ascii="Symbol" w:hAnsi="Symbol" w:eastAsia="Symbol" w:cs="Symbol" w:hint="default"/>
        <w:color w:val="000000"/>
        <w:sz w:val="24"/>
      </w:rPr>
    </w:lvl>
    <w:lvl w:ilvl="2">
      <w:start w:val="1"/>
      <w:numFmt w:val="bullet"/>
      <w:lvlText w:val="–"/>
      <w:lvlJc w:val="start"/>
      <w:pPr>
        <w:ind w:left="675" w:hanging="283"/>
      </w:pPr>
      <w:rPr>
        <w:rFonts w:ascii="Calibri" w:hAnsi="Calibri" w:eastAsia="Calibri" w:cs="Calibri" w:hint="default"/>
        <w:color w:val="000000"/>
        <w:sz w:val="24"/>
      </w:rPr>
    </w:lvl>
    <w:lvl w:ilvl="3">
      <w:start w:val="1"/>
      <w:numFmt w:val="bullet"/>
      <w:lvlText w:val="–"/>
      <w:lvlJc w:val="start"/>
      <w:pPr>
        <w:ind w:left="675" w:hanging="283"/>
      </w:pPr>
      <w:rPr>
        <w:rFonts w:ascii="Calibri" w:hAnsi="Calibri" w:eastAsia="Calibri" w:cs="Calibri" w:hint="default"/>
        <w:color w:val="000000"/>
        <w:sz w:val="24"/>
      </w:rPr>
    </w:lvl>
    <w:lvl w:ilvl="4">
      <w:start w:val="1"/>
      <w:numFmt w:val="bullet"/>
      <w:lvlText w:val=""/>
      <w:lvlJc w:val="start"/>
      <w:pPr>
        <w:ind w:left="788" w:hanging="283"/>
      </w:pPr>
      <w:rPr>
        <w:rFonts w:ascii="Symbol" w:hAnsi="Symbol" w:eastAsia="Symbol" w:cs="Symbol" w:hint="default"/>
        <w:color w:val="000000"/>
        <w:sz w:val="24"/>
      </w:rPr>
    </w:lvl>
    <w:lvl w:ilvl="5">
      <w:start w:val="1"/>
      <w:numFmt w:val="bullet"/>
      <w:lvlText w:val=""/>
      <w:lvlJc w:val="start"/>
      <w:pPr>
        <w:ind w:left="788" w:hanging="283"/>
      </w:pPr>
      <w:rPr>
        <w:rFonts w:ascii="Symbol" w:hAnsi="Symbol" w:eastAsia="Symbol" w:cs="Symbol" w:hint="default"/>
        <w:color w:val="000000"/>
        <w:sz w:val="24"/>
      </w:rPr>
    </w:lvl>
    <w:lvl w:ilvl="6">
      <w:start w:val="1"/>
      <w:numFmt w:val="bullet"/>
      <w:lvlText w:val=""/>
      <w:lvlJc w:val="start"/>
      <w:pPr>
        <w:ind w:left="335" w:hanging="227"/>
      </w:pPr>
      <w:rPr>
        <w:rFonts w:ascii="Symbol" w:hAnsi="Symbol" w:eastAsia="Symbol" w:cs="Symbol"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abstractNum w:abstractNumId="4">
    <w:multiLevelType w:val="hybridMultilevel"/>
    <w:lvl w:ilvl="0">
      <w:start w:val="1"/>
      <w:numFmt w:val="bullet"/>
      <w:lvlText w:val=""/>
      <w:lvlJc w:val="start"/>
      <w:pPr>
        <w:ind w:left="468" w:hanging="360"/>
      </w:pPr>
      <w:rPr>
        <w:rFonts w:ascii="Symbol" w:hAnsi="Symbol" w:eastAsia="Symbol" w:cs="Symbol" w:hint="default"/>
        <w:color w:val="000000"/>
        <w:sz w:val="24"/>
      </w:rPr>
    </w:lvl>
    <w:lvl w:ilvl="1">
      <w:start w:val="1"/>
      <w:numFmt w:val="bullet"/>
      <w:lvlText w:val="o"/>
      <w:lvlJc w:val="start"/>
      <w:pPr>
        <w:ind w:left="1188" w:hanging="360"/>
      </w:pPr>
      <w:rPr>
        <w:rFonts w:ascii="Courier New" w:hAnsi="Courier New" w:eastAsia="Courier New" w:cs="Courier New" w:hint="default"/>
        <w:color w:val="000000"/>
        <w:sz w:val="24"/>
      </w:rPr>
    </w:lvl>
    <w:lvl w:ilvl="2">
      <w:start w:val="1"/>
      <w:numFmt w:val="bullet"/>
      <w:lvlText w:val=""/>
      <w:lvlJc w:val="start"/>
      <w:pPr>
        <w:ind w:left="1908" w:hanging="360"/>
      </w:pPr>
      <w:rPr>
        <w:rFonts w:ascii="Wingdings" w:hAnsi="Wingdings" w:eastAsia="Wingdings" w:cs="Wingdings" w:hint="default"/>
        <w:color w:val="000000"/>
        <w:sz w:val="24"/>
      </w:rPr>
    </w:lvl>
    <w:lvl w:ilvl="3">
      <w:start w:val="1"/>
      <w:numFmt w:val="bullet"/>
      <w:lvlText w:val=""/>
      <w:lvlJc w:val="start"/>
      <w:pPr>
        <w:ind w:left="2628" w:hanging="360"/>
      </w:pPr>
      <w:rPr>
        <w:rFonts w:ascii="Symbol" w:hAnsi="Symbol" w:eastAsia="Symbol" w:cs="Symbol" w:hint="default"/>
        <w:color w:val="000000"/>
        <w:sz w:val="24"/>
      </w:rPr>
    </w:lvl>
    <w:lvl w:ilvl="4">
      <w:start w:val="1"/>
      <w:numFmt w:val="bullet"/>
      <w:lvlText w:val="o"/>
      <w:lvlJc w:val="start"/>
      <w:pPr>
        <w:ind w:left="3348" w:hanging="360"/>
      </w:pPr>
      <w:rPr>
        <w:rFonts w:ascii="Courier New" w:hAnsi="Courier New" w:eastAsia="Courier New" w:cs="Courier New" w:hint="default"/>
        <w:color w:val="000000"/>
        <w:sz w:val="24"/>
      </w:rPr>
    </w:lvl>
    <w:lvl w:ilvl="5">
      <w:start w:val="1"/>
      <w:numFmt w:val="bullet"/>
      <w:lvlText w:val=""/>
      <w:lvlJc w:val="start"/>
      <w:pPr>
        <w:ind w:left="4068" w:hanging="360"/>
      </w:pPr>
      <w:rPr>
        <w:rFonts w:ascii="Wingdings" w:hAnsi="Wingdings" w:eastAsia="Wingdings" w:cs="Wingdings" w:hint="default"/>
        <w:color w:val="000000"/>
        <w:sz w:val="24"/>
      </w:rPr>
    </w:lvl>
    <w:lvl w:ilvl="6">
      <w:start w:val="1"/>
      <w:numFmt w:val="bullet"/>
      <w:lvlText w:val=""/>
      <w:lvlJc w:val="start"/>
      <w:pPr>
        <w:ind w:left="4788" w:hanging="360"/>
      </w:pPr>
      <w:rPr>
        <w:rFonts w:ascii="Symbol" w:hAnsi="Symbol" w:eastAsia="Symbol" w:cs="Symbol" w:hint="default"/>
        <w:color w:val="000000"/>
        <w:sz w:val="24"/>
      </w:rPr>
    </w:lvl>
    <w:lvl w:ilvl="7">
      <w:start w:val="1"/>
      <w:numFmt w:val="bullet"/>
      <w:lvlText w:val="o"/>
      <w:lvlJc w:val="start"/>
      <w:pPr>
        <w:ind w:left="5508" w:hanging="360"/>
      </w:pPr>
      <w:rPr>
        <w:rFonts w:ascii="Courier New" w:hAnsi="Courier New" w:eastAsia="Courier New" w:cs="Courier New" w:hint="default"/>
        <w:color w:val="000000"/>
        <w:sz w:val="24"/>
      </w:rPr>
    </w:lvl>
    <w:lvl w:ilvl="8">
      <w:start w:val="1"/>
      <w:numFmt w:val="bullet"/>
      <w:lvlText w:val=""/>
      <w:lvlJc w:val="start"/>
      <w:pPr>
        <w:ind w:left="6228" w:hanging="360"/>
      </w:pPr>
      <w:rPr>
        <w:rFonts w:ascii="Wingdings" w:hAnsi="Wingdings" w:eastAsia="Wingdings" w:cs="Wingdings" w:hint="default"/>
        <w:color w:val="000000"/>
        <w:sz w:val="24"/>
      </w:rPr>
    </w:lvl>
  </w:abstractNum>
  <w:abstractNum w:abstractNumId="5">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6">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7">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8">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9">
    <w:multiLevelType w:val="hybridMultilevel"/>
    <w:lvl w:ilvl="0">
      <w:start w:val="1"/>
      <w:numFmt w:val="decimal"/>
      <w:lvlText w:val="%1."/>
      <w:lvlJc w:val="start"/>
      <w:pPr>
        <w:ind w:left="468" w:hanging="360"/>
      </w:pPr>
      <w:rPr>
        <w:rFonts w:ascii="Calibri" w:hAnsi="Calibri" w:eastAsia="Calibri" w:cs="Calibri" w:hint="default"/>
        <w:color w:val="000000"/>
        <w:sz w:val="24"/>
      </w:rPr>
    </w:lvl>
    <w:lvl w:ilvl="1">
      <w:start w:val="1"/>
      <w:numFmt w:val="lowerLetter"/>
      <w:lvlText w:val="%2."/>
      <w:lvlJc w:val="start"/>
      <w:pPr>
        <w:ind w:left="1188" w:hanging="360"/>
      </w:pPr>
      <w:rPr>
        <w:rFonts w:ascii="Calibri" w:hAnsi="Calibri" w:eastAsia="Calibri" w:cs="Calibri" w:hint="default"/>
        <w:color w:val="000000"/>
        <w:sz w:val="24"/>
      </w:rPr>
    </w:lvl>
    <w:lvl w:ilvl="2">
      <w:start w:val="1"/>
      <w:numFmt w:val="lowerRoman"/>
      <w:lvlText w:val="%3."/>
      <w:lvlJc w:val="end"/>
      <w:pPr>
        <w:ind w:left="1908" w:hanging="180"/>
      </w:pPr>
      <w:rPr>
        <w:rFonts w:ascii="Calibri" w:hAnsi="Calibri" w:eastAsia="Calibri" w:cs="Calibri" w:hint="default"/>
        <w:color w:val="000000"/>
        <w:sz w:val="24"/>
      </w:rPr>
    </w:lvl>
    <w:lvl w:ilvl="3">
      <w:start w:val="1"/>
      <w:numFmt w:val="decimal"/>
      <w:lvlText w:val="%4."/>
      <w:lvlJc w:val="start"/>
      <w:pPr>
        <w:ind w:left="2628" w:hanging="360"/>
      </w:pPr>
      <w:rPr>
        <w:rFonts w:ascii="Calibri" w:hAnsi="Calibri" w:eastAsia="Calibri" w:cs="Calibri" w:hint="default"/>
        <w:color w:val="000000"/>
        <w:sz w:val="24"/>
      </w:rPr>
    </w:lvl>
    <w:lvl w:ilvl="4">
      <w:start w:val="1"/>
      <w:numFmt w:val="lowerLetter"/>
      <w:lvlText w:val="%5."/>
      <w:lvlJc w:val="start"/>
      <w:pPr>
        <w:ind w:left="3348" w:hanging="360"/>
      </w:pPr>
      <w:rPr>
        <w:rFonts w:ascii="Calibri" w:hAnsi="Calibri" w:eastAsia="Calibri" w:cs="Calibri" w:hint="default"/>
        <w:color w:val="000000"/>
        <w:sz w:val="24"/>
      </w:rPr>
    </w:lvl>
    <w:lvl w:ilvl="5">
      <w:start w:val="1"/>
      <w:numFmt w:val="lowerRoman"/>
      <w:lvlText w:val="%6."/>
      <w:lvlJc w:val="end"/>
      <w:pPr>
        <w:ind w:left="4068" w:hanging="180"/>
      </w:pPr>
      <w:rPr>
        <w:rFonts w:ascii="Calibri" w:hAnsi="Calibri" w:eastAsia="Calibri" w:cs="Calibri" w:hint="default"/>
        <w:color w:val="000000"/>
        <w:sz w:val="24"/>
      </w:rPr>
    </w:lvl>
    <w:lvl w:ilvl="6">
      <w:start w:val="1"/>
      <w:numFmt w:val="decimal"/>
      <w:lvlText w:val="%7."/>
      <w:lvlJc w:val="start"/>
      <w:pPr>
        <w:ind w:left="4788" w:hanging="360"/>
      </w:pPr>
      <w:rPr>
        <w:rFonts w:ascii="Calibri" w:hAnsi="Calibri" w:eastAsia="Calibri" w:cs="Calibri" w:hint="default"/>
        <w:color w:val="000000"/>
        <w:sz w:val="24"/>
      </w:rPr>
    </w:lvl>
    <w:lvl w:ilvl="7">
      <w:start w:val="1"/>
      <w:numFmt w:val="lowerLetter"/>
      <w:lvlText w:val="%8."/>
      <w:lvlJc w:val="start"/>
      <w:pPr>
        <w:ind w:left="5508" w:hanging="360"/>
      </w:pPr>
      <w:rPr>
        <w:rFonts w:ascii="Calibri" w:hAnsi="Calibri" w:eastAsia="Calibri" w:cs="Calibri" w:hint="default"/>
        <w:color w:val="000000"/>
        <w:sz w:val="24"/>
      </w:rPr>
    </w:lvl>
    <w:lvl w:ilvl="8">
      <w:start w:val="1"/>
      <w:numFmt w:val="lowerRoman"/>
      <w:lvlText w:val="%9."/>
      <w:lvlJc w:val="end"/>
      <w:pPr>
        <w:ind w:left="6228" w:hanging="180"/>
      </w:pPr>
      <w:rPr>
        <w:rFonts w:ascii="Calibri" w:hAnsi="Calibri" w:eastAsia="Calibri" w:cs="Calibri" w:hint="default"/>
        <w:color w:val="000000"/>
        <w:sz w:val="24"/>
      </w:rPr>
    </w:lvl>
  </w:abstractNum>
  <w:abstractNum w:abstractNumId="10">
    <w:multiLevelType w:val="hybridMultilevel"/>
    <w:lvl w:ilvl="0">
      <w:start w:val="1"/>
      <w:numFmt w:val="decimal"/>
      <w:lvlText w:val="%1."/>
      <w:lvlJc w:val="start"/>
      <w:pPr>
        <w:ind w:left="828" w:hanging="360"/>
      </w:pPr>
      <w:rPr>
        <w:rFonts w:ascii="Calibri" w:hAnsi="Calibri" w:eastAsia="Calibri" w:cs="Calibri" w:hint="default"/>
        <w:color w:val="000000"/>
        <w:sz w:val="24"/>
      </w:rPr>
    </w:lvl>
    <w:lvl w:ilvl="1">
      <w:start w:val="1"/>
      <w:numFmt w:val="lowerLetter"/>
      <w:lvlText w:val="%2."/>
      <w:lvlJc w:val="start"/>
      <w:pPr>
        <w:ind w:left="1548" w:hanging="360"/>
      </w:pPr>
      <w:rPr>
        <w:rFonts w:ascii="Calibri" w:hAnsi="Calibri" w:eastAsia="Calibri" w:cs="Calibri" w:hint="default"/>
        <w:color w:val="000000"/>
        <w:sz w:val="24"/>
      </w:rPr>
    </w:lvl>
    <w:lvl w:ilvl="2">
      <w:start w:val="1"/>
      <w:numFmt w:val="lowerRoman"/>
      <w:lvlText w:val="%3."/>
      <w:lvlJc w:val="end"/>
      <w:pPr>
        <w:ind w:left="2268" w:hanging="180"/>
      </w:pPr>
      <w:rPr>
        <w:rFonts w:ascii="Calibri" w:hAnsi="Calibri" w:eastAsia="Calibri" w:cs="Calibri" w:hint="default"/>
        <w:color w:val="000000"/>
        <w:sz w:val="24"/>
      </w:rPr>
    </w:lvl>
    <w:lvl w:ilvl="3">
      <w:start w:val="1"/>
      <w:numFmt w:val="decimal"/>
      <w:lvlText w:val="%4."/>
      <w:lvlJc w:val="start"/>
      <w:pPr>
        <w:ind w:left="2988" w:hanging="360"/>
      </w:pPr>
      <w:rPr>
        <w:rFonts w:ascii="Calibri" w:hAnsi="Calibri" w:eastAsia="Calibri" w:cs="Calibri" w:hint="default"/>
        <w:color w:val="000000"/>
        <w:sz w:val="24"/>
      </w:rPr>
    </w:lvl>
    <w:lvl w:ilvl="4">
      <w:start w:val="1"/>
      <w:numFmt w:val="lowerLetter"/>
      <w:lvlText w:val="%5."/>
      <w:lvlJc w:val="start"/>
      <w:pPr>
        <w:ind w:left="3708" w:hanging="360"/>
      </w:pPr>
      <w:rPr>
        <w:rFonts w:ascii="Calibri" w:hAnsi="Calibri" w:eastAsia="Calibri" w:cs="Calibri" w:hint="default"/>
        <w:color w:val="000000"/>
        <w:sz w:val="24"/>
      </w:rPr>
    </w:lvl>
    <w:lvl w:ilvl="5">
      <w:start w:val="1"/>
      <w:numFmt w:val="lowerRoman"/>
      <w:lvlText w:val="%6."/>
      <w:lvlJc w:val="end"/>
      <w:pPr>
        <w:ind w:left="4428" w:hanging="180"/>
      </w:pPr>
      <w:rPr>
        <w:rFonts w:ascii="Calibri" w:hAnsi="Calibri" w:eastAsia="Calibri" w:cs="Calibri" w:hint="default"/>
        <w:color w:val="000000"/>
        <w:sz w:val="24"/>
      </w:rPr>
    </w:lvl>
    <w:lvl w:ilvl="6">
      <w:start w:val="1"/>
      <w:numFmt w:val="decimal"/>
      <w:lvlText w:val="%7."/>
      <w:lvlJc w:val="start"/>
      <w:pPr>
        <w:ind w:left="5148" w:hanging="360"/>
      </w:pPr>
      <w:rPr>
        <w:rFonts w:ascii="Calibri" w:hAnsi="Calibri" w:eastAsia="Calibri" w:cs="Calibri" w:hint="default"/>
        <w:color w:val="000000"/>
        <w:sz w:val="24"/>
      </w:rPr>
    </w:lvl>
    <w:lvl w:ilvl="7">
      <w:start w:val="1"/>
      <w:numFmt w:val="lowerLetter"/>
      <w:lvlText w:val="%8."/>
      <w:lvlJc w:val="start"/>
      <w:pPr>
        <w:ind w:left="5868" w:hanging="360"/>
      </w:pPr>
      <w:rPr>
        <w:rFonts w:ascii="Calibri" w:hAnsi="Calibri" w:eastAsia="Calibri" w:cs="Calibri" w:hint="default"/>
        <w:color w:val="000000"/>
        <w:sz w:val="24"/>
      </w:rPr>
    </w:lvl>
    <w:lvl w:ilvl="8">
      <w:start w:val="1"/>
      <w:numFmt w:val="lowerRoman"/>
      <w:lvlText w:val="%9."/>
      <w:lvlJc w:val="end"/>
      <w:pPr>
        <w:ind w:left="6588" w:hanging="180"/>
      </w:pPr>
      <w:rPr>
        <w:rFonts w:ascii="Calibri" w:hAnsi="Calibri" w:eastAsia="Calibri" w:cs="Calibri" w:hint="default"/>
        <w:color w:val="000000"/>
        <w:sz w:val="24"/>
      </w:rPr>
    </w:lvl>
  </w:abstractNum>
  <w:abstractNum w:abstractNumId="11">
    <w:multiLevelType w:val="hybridMultilevel"/>
    <w:lvl w:ilvl="0">
      <w:start w:val="1"/>
      <w:numFmt w:val="decimal"/>
      <w:lvlText w:val="%1."/>
      <w:lvlJc w:val="start"/>
      <w:pPr>
        <w:ind w:left="505" w:hanging="397"/>
      </w:pPr>
      <w:rPr>
        <w:rFonts w:ascii="Calibri" w:hAnsi="Calibri" w:eastAsia="Calibri" w:cs="Calibri" w:hint="default"/>
        <w:color w:val="000000"/>
        <w:sz w:val="24"/>
      </w:rPr>
    </w:lvl>
    <w:lvl w:ilvl="1">
      <w:start w:val="1"/>
      <w:numFmt w:val="decimal"/>
      <w:lvlText w:val="%2."/>
      <w:lvlJc w:val="start"/>
      <w:pPr>
        <w:ind w:left="902" w:hanging="397"/>
      </w:pPr>
      <w:rPr>
        <w:rFonts w:ascii="Calibri" w:hAnsi="Calibri" w:eastAsia="Calibri" w:cs="Calibri" w:hint="default"/>
        <w:color w:val="000000"/>
        <w:sz w:val="24"/>
      </w:rPr>
    </w:lvl>
    <w:lvl w:ilvl="2">
      <w:start w:val="1"/>
      <w:numFmt w:val="lowerLetter"/>
      <w:lvlText w:val="(%3)"/>
      <w:lvlJc w:val="start"/>
      <w:pPr>
        <w:ind w:left="505" w:hanging="397"/>
      </w:pPr>
      <w:rPr>
        <w:rFonts w:ascii="Calibri" w:hAnsi="Calibri" w:eastAsia="Calibri" w:cs="Calibri" w:hint="default"/>
        <w:color w:val="000000"/>
        <w:sz w:val="24"/>
      </w:rPr>
    </w:lvl>
    <w:lvl w:ilvl="3">
      <w:start w:val="1"/>
      <w:numFmt w:val="lowerLetter"/>
      <w:lvlText w:val="(%4)"/>
      <w:lvlJc w:val="start"/>
      <w:pPr>
        <w:ind w:left="902" w:hanging="397"/>
      </w:pPr>
      <w:rPr>
        <w:rFonts w:ascii="Calibri" w:hAnsi="Calibri" w:eastAsia="Calibri" w:cs="Calibri" w:hint="default"/>
        <w:color w:val="000000"/>
        <w:sz w:val="24"/>
      </w:rPr>
    </w:lvl>
    <w:lvl w:ilvl="4">
      <w:start w:val="1"/>
      <w:numFmt w:val="lowerRoman"/>
      <w:lvlText w:val="(%5)"/>
      <w:lvlJc w:val="start"/>
      <w:pPr>
        <w:ind w:left="505" w:hanging="397"/>
      </w:pPr>
      <w:rPr>
        <w:rFonts w:ascii="Calibri" w:hAnsi="Calibri" w:eastAsia="Calibri" w:cs="Calibri" w:hint="default"/>
        <w:color w:val="000000"/>
        <w:sz w:val="24"/>
      </w:rPr>
    </w:lvl>
    <w:lvl w:ilvl="5">
      <w:start w:val="1"/>
      <w:numFmt w:val="lowerRoman"/>
      <w:lvlText w:val="(%6)"/>
      <w:lvlJc w:val="start"/>
      <w:pPr>
        <w:ind w:left="902" w:hanging="397"/>
      </w:pPr>
      <w:rPr>
        <w:rFonts w:ascii="Calibri" w:hAnsi="Calibri" w:eastAsia="Calibri" w:cs="Calibri" w:hint="default"/>
        <w:color w:val="000000"/>
        <w:sz w:val="24"/>
      </w:rPr>
    </w:lvl>
    <w:lvl w:ilvl="6">
      <w:start w:val="1"/>
      <w:numFmt w:val="none"/>
      <w:lvlText w:val=""/>
      <w:lvlJc w:val="start"/>
      <w:pPr>
        <w:ind w:left="108" w:hanging="0"/>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end"/>
      <w:pPr>
        <w:ind w:left="108" w:hanging="0"/>
      </w:pPr>
      <w:rPr>
        <w:rFonts w:ascii="Calibri" w:hAnsi="Calibri" w:eastAsia="Calibri" w:cs="Calibri" w:hint="default"/>
        <w:color w:val="000000"/>
        <w:sz w:val="24"/>
      </w:rPr>
    </w:lvl>
  </w:abstractNum>
  <w:abstractNum w:abstractNumId="12">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3">
    <w:multiLevelType w:val="hybridMultilevel"/>
    <w:lvl w:ilvl="0">
      <w:start w:val="1"/>
      <w:numFmt w:val="bullet"/>
      <w:lvlText w:val=""/>
      <w:lvlJc w:val="start"/>
      <w:pPr>
        <w:ind w:left="828" w:hanging="360"/>
      </w:pPr>
      <w:rPr>
        <w:rFonts w:ascii="Symbol" w:hAnsi="Symbol" w:eastAsia="Symbol" w:cs="Symbol" w:hint="default"/>
        <w:color w:val="000000"/>
        <w:sz w:val="24"/>
      </w:rPr>
    </w:lvl>
    <w:lvl w:ilvl="1">
      <w:start w:val="1"/>
      <w:numFmt w:val="bullet"/>
      <w:lvlText w:val="o"/>
      <w:lvlJc w:val="start"/>
      <w:pPr>
        <w:ind w:left="1548" w:hanging="360"/>
      </w:pPr>
      <w:rPr>
        <w:rFonts w:ascii="Courier New" w:hAnsi="Courier New" w:eastAsia="Courier New" w:cs="Courier New" w:hint="default"/>
        <w:color w:val="000000"/>
        <w:sz w:val="24"/>
      </w:rPr>
    </w:lvl>
    <w:lvl w:ilvl="2">
      <w:start w:val="1"/>
      <w:numFmt w:val="bullet"/>
      <w:lvlText w:val=""/>
      <w:lvlJc w:val="start"/>
      <w:pPr>
        <w:ind w:left="2268" w:hanging="360"/>
      </w:pPr>
      <w:rPr>
        <w:rFonts w:ascii="Wingdings" w:hAnsi="Wingdings" w:eastAsia="Wingdings" w:cs="Wingdings" w:hint="default"/>
        <w:color w:val="000000"/>
        <w:sz w:val="24"/>
      </w:rPr>
    </w:lvl>
    <w:lvl w:ilvl="3">
      <w:start w:val="1"/>
      <w:numFmt w:val="bullet"/>
      <w:lvlText w:val=""/>
      <w:lvlJc w:val="start"/>
      <w:pPr>
        <w:ind w:left="2988" w:hanging="360"/>
      </w:pPr>
      <w:rPr>
        <w:rFonts w:ascii="Symbol" w:hAnsi="Symbol" w:eastAsia="Symbol" w:cs="Symbol" w:hint="default"/>
        <w:color w:val="000000"/>
        <w:sz w:val="24"/>
      </w:rPr>
    </w:lvl>
    <w:lvl w:ilvl="4">
      <w:start w:val="1"/>
      <w:numFmt w:val="bullet"/>
      <w:lvlText w:val="o"/>
      <w:lvlJc w:val="start"/>
      <w:pPr>
        <w:ind w:left="3708" w:hanging="360"/>
      </w:pPr>
      <w:rPr>
        <w:rFonts w:ascii="Courier New" w:hAnsi="Courier New" w:eastAsia="Courier New" w:cs="Courier New" w:hint="default"/>
        <w:color w:val="000000"/>
        <w:sz w:val="24"/>
      </w:rPr>
    </w:lvl>
    <w:lvl w:ilvl="5">
      <w:start w:val="1"/>
      <w:numFmt w:val="bullet"/>
      <w:lvlText w:val=""/>
      <w:lvlJc w:val="start"/>
      <w:pPr>
        <w:ind w:left="4428" w:hanging="360"/>
      </w:pPr>
      <w:rPr>
        <w:rFonts w:ascii="Wingdings" w:hAnsi="Wingdings" w:eastAsia="Wingdings" w:cs="Wingdings" w:hint="default"/>
        <w:color w:val="000000"/>
        <w:sz w:val="24"/>
      </w:rPr>
    </w:lvl>
    <w:lvl w:ilvl="6">
      <w:start w:val="1"/>
      <w:numFmt w:val="bullet"/>
      <w:lvlText w:val=""/>
      <w:lvlJc w:val="start"/>
      <w:pPr>
        <w:ind w:left="5148" w:hanging="360"/>
      </w:pPr>
      <w:rPr>
        <w:rFonts w:ascii="Symbol" w:hAnsi="Symbol" w:eastAsia="Symbol" w:cs="Symbol" w:hint="default"/>
        <w:color w:val="000000"/>
        <w:sz w:val="24"/>
      </w:rPr>
    </w:lvl>
    <w:lvl w:ilvl="7">
      <w:start w:val="1"/>
      <w:numFmt w:val="bullet"/>
      <w:lvlText w:val="o"/>
      <w:lvlJc w:val="start"/>
      <w:pPr>
        <w:ind w:left="5868" w:hanging="360"/>
      </w:pPr>
      <w:rPr>
        <w:rFonts w:ascii="Courier New" w:hAnsi="Courier New" w:eastAsia="Courier New" w:cs="Courier New" w:hint="default"/>
        <w:color w:val="000000"/>
        <w:sz w:val="24"/>
      </w:rPr>
    </w:lvl>
    <w:lvl w:ilvl="8">
      <w:start w:val="1"/>
      <w:numFmt w:val="bullet"/>
      <w:lvlText w:val=""/>
      <w:lvlJc w:val="start"/>
      <w:pPr>
        <w:ind w:left="6588" w:hanging="360"/>
      </w:pPr>
      <w:rPr>
        <w:rFonts w:ascii="Wingdings" w:hAnsi="Wingdings" w:eastAsia="Wingdings" w:cs="Wingdings" w:hint="default"/>
        <w:color w:val="000000"/>
        <w:sz w:val="24"/>
      </w:rPr>
    </w:lvl>
  </w:abstractNum>
  <w:abstractNum w:abstractNumId="14">
    <w:multiLevelType w:val="hybridMultilevel"/>
    <w:lvl w:ilvl="0">
      <w:start w:val="1"/>
      <w:numFmt w:val="bullet"/>
      <w:lvlText w:val="•"/>
      <w:lvlJc w:val="start"/>
      <w:pPr>
        <w:ind w:left="392" w:hanging="284"/>
      </w:pPr>
      <w:rPr>
        <w:rFonts w:ascii="Calibri" w:hAnsi="Calibri" w:eastAsia="Calibri" w:cs="Calibri" w:hint="default"/>
        <w:color w:val="000000"/>
        <w:sz w:val="20"/>
      </w:rPr>
    </w:lvl>
    <w:lvl w:ilvl="1">
      <w:start w:val="1"/>
      <w:numFmt w:val="bullet"/>
      <w:lvlText w:val="•"/>
      <w:lvlJc w:val="start"/>
      <w:pPr>
        <w:ind w:left="392" w:hanging="284"/>
      </w:pPr>
      <w:rPr>
        <w:rFonts w:ascii="Calibri" w:hAnsi="Calibri" w:eastAsia="Calibri" w:cs="Calibri" w:hint="default"/>
        <w:color w:val="000000"/>
        <w:sz w:val="24"/>
      </w:rPr>
    </w:lvl>
    <w:lvl w:ilvl="2">
      <w:start w:val="1"/>
      <w:numFmt w:val="bullet"/>
      <w:lvlText w:val="–"/>
      <w:lvlJc w:val="start"/>
      <w:pPr>
        <w:ind w:left="675" w:hanging="283"/>
      </w:pPr>
      <w:rPr>
        <w:rFonts w:ascii="Arial" w:hAnsi="Arial" w:eastAsia="Arial" w:cs="Arial" w:hint="default"/>
        <w:color w:val="000000"/>
        <w:sz w:val="24"/>
      </w:rPr>
    </w:lvl>
    <w:lvl w:ilvl="3">
      <w:start w:val="1"/>
      <w:numFmt w:val="bullet"/>
      <w:lvlText w:val="–"/>
      <w:lvlJc w:val="start"/>
      <w:pPr>
        <w:ind w:left="675" w:hanging="283"/>
      </w:pPr>
      <w:rPr>
        <w:rFonts w:ascii="Arial" w:hAnsi="Arial" w:eastAsia="Arial" w:cs="Arial" w:hint="default"/>
        <w:color w:val="000000"/>
        <w:sz w:val="24"/>
      </w:rPr>
    </w:lvl>
    <w:lvl w:ilvl="4">
      <w:start w:val="1"/>
      <w:numFmt w:val="bullet"/>
      <w:lvlText w:val="•"/>
      <w:lvlJc w:val="start"/>
      <w:pPr>
        <w:ind w:left="788" w:hanging="283"/>
      </w:pPr>
      <w:rPr>
        <w:rFonts w:ascii="Calibri" w:hAnsi="Calibri" w:eastAsia="Calibri" w:cs="Calibri" w:hint="default"/>
        <w:color w:val="000000"/>
        <w:sz w:val="24"/>
      </w:rPr>
    </w:lvl>
    <w:lvl w:ilvl="5">
      <w:start w:val="1"/>
      <w:numFmt w:val="bullet"/>
      <w:lvlText w:val="•"/>
      <w:lvlJc w:val="start"/>
      <w:pPr>
        <w:ind w:left="788" w:hanging="283"/>
      </w:pPr>
      <w:rPr>
        <w:rFonts w:ascii="Calibri" w:hAnsi="Calibri" w:eastAsia="Calibri" w:cs="Calibri" w:hint="default"/>
        <w:color w:val="000000"/>
        <w:sz w:val="24"/>
      </w:rPr>
    </w:lvl>
    <w:lvl w:ilvl="6">
      <w:start w:val="1"/>
      <w:numFmt w:val="bullet"/>
      <w:lvlText w:val="•"/>
      <w:lvlJc w:val="start"/>
      <w:pPr>
        <w:ind w:left="335" w:hanging="227"/>
      </w:pPr>
      <w:rPr>
        <w:rFonts w:ascii="Calibri" w:hAnsi="Calibri" w:eastAsia="Calibri" w:cs="Calibri" w:hint="default"/>
        <w:color w:val="000000"/>
        <w:sz w:val="24"/>
      </w:rPr>
    </w:lvl>
    <w:lvl w:ilvl="7">
      <w:start w:val="1"/>
      <w:numFmt w:val="none"/>
      <w:lvlText w:val=""/>
      <w:lvlJc w:val="start"/>
      <w:pPr>
        <w:ind w:left="108" w:hanging="0"/>
      </w:pPr>
      <w:rPr>
        <w:rFonts w:ascii="Calibri" w:hAnsi="Calibri" w:eastAsia="Calibri" w:cs="Calibri" w:hint="default"/>
        <w:color w:val="000000"/>
        <w:sz w:val="24"/>
      </w:rPr>
    </w:lvl>
    <w:lvl w:ilvl="8">
      <w:start w:val="1"/>
      <w:numFmt w:val="none"/>
      <w:lvlText w:val=""/>
      <w:lvlJc w:val="start"/>
      <w:pPr>
        <w:ind w:left="108" w:hanging="0"/>
      </w:pPr>
      <w:rPr>
        <w:rFonts w:ascii="Calibri" w:hAnsi="Calibri" w:eastAsia="Calibri" w:cs="Calibri" w:hint="default"/>
        <w:color w:val="000000"/>
        <w:sz w:val="24"/>
      </w:rPr>
    </w:lvl>
  </w:abstractNum>
  <w:num w:numId="19">
    <w:abstractNumId w:val="13"/>
  </w:num>
  <w:num w:numId="18">
    <w:abstractNumId w:val="14"/>
  </w:num>
  <w:num w:numId="17">
    <w:abstractNumId w:val="0"/>
  </w:num>
  <w:num w:numId="16">
    <w:abstractNumId w:val="6"/>
  </w:num>
  <w:num w:numId="15">
    <w:abstractNumId w:val="4"/>
  </w:num>
  <w:num w:numId="14">
    <w:abstractNumId w:val="1"/>
  </w:num>
  <w:num w:numId="13">
    <w:abstractNumId w:val="8"/>
  </w:num>
  <w:num w:numId="12">
    <w:abstractNumId w:val="12"/>
  </w:num>
  <w:num w:numId="11">
    <w:abstractNumId w:val="5"/>
  </w:num>
  <w:num w:numId="10">
    <w:abstractNumId w:val="9"/>
  </w:num>
  <w:num w:numId="9">
    <w:abstractNumId w:val="10"/>
  </w:num>
  <w:num w:numId="8">
    <w:abstractNumId w:val="7"/>
  </w:num>
  <w:num w:numId="7">
    <w:abstractNumId w:val="14"/>
  </w:num>
  <w:num w:numId="6">
    <w:abstractNumId w:val="2"/>
  </w:num>
  <w:num w:numId="5">
    <w:abstractNumId w:val="2"/>
  </w:num>
  <w:num w:numId="4">
    <w:abstractNumId w:val="2"/>
  </w:num>
  <w:num w:numId="3">
    <w:abstractNumId w:val="11"/>
  </w:num>
  <w:num w:numId="2">
    <w:abstractNumId w:val="2"/>
  </w:num>
  <w:num w:numId="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