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Social Impact Investments 94623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aihw.gov.au/about-our-data/our-data-collections/specialist-homelessness-services-collection" TargetMode="External"/>
<Relationship Id="rId12" Type="http://schemas.openxmlformats.org/officeDocument/2006/relationships/hyperlink" Target="https://fac.dffh.vic.gov.au/homelessness-services-guidelines-and-conditions-funding" TargetMode="External"/>
<Relationship Id="rId13" Type="http://schemas.openxmlformats.org/officeDocument/2006/relationships/hyperlink" Target="https://www.dffh.vic.gov.au/publications/victorias-homelessness-and-rough-sleeping-action-plan" TargetMode="External"/>
<Relationship Id="rId14" Type="http://schemas.openxmlformats.org/officeDocument/2006/relationships/hyperlink" Target="https://fac.dffh.vic.gov.au/victorian-housing-register" TargetMode="External"/>
<Relationship Id="rId15" Type="http://schemas.openxmlformats.org/officeDocument/2006/relationships/hyperlink" Target="file:/F:/Oracle/Middleware/Oracle_Home/user_projects/domains/bi" TargetMode="External"/>
<Relationship Id="rId16" Type="http://schemas.openxmlformats.org/officeDocument/2006/relationships/hyperlink" Target="file:/F:/Oracle/Middleware/Oracle_Home/user_projects/domains/bi" TargetMode="External"/>
<Relationship Id="rId17" Type="http://schemas.openxmlformats.org/officeDocument/2006/relationships/hyperlink" Target="file:/F:/Oracle/Middleware/Oracle_Home/user_projects/domains/bi" TargetMode="External"/>
<Relationship Id="rId18" Type="http://schemas.openxmlformats.org/officeDocument/2006/relationships/hyperlink" Target="file:/F:/Oracle/Middleware/Oracle_Home/user_projects/domains/bi" TargetMode="External"/>
<Relationship Id="rId19" Type="http://schemas.openxmlformats.org/officeDocument/2006/relationships/hyperlink" Target="https://vahhf.org.au/wp-content/uploads/2023/09/victorian-aboriginal-housing-and-homelessness-framework_complete_26_02_20-2.pdf" TargetMode="External"/>
<Relationship Id="rId20" Type="http://schemas.openxmlformats.org/officeDocument/2006/relationships/hyperlink" Target="https://vahhf.org.au/wp-content/uploads/2023/09/Blueprint.pdf" TargetMode="External"/>
<Relationship Id="rId21" Type="http://schemas.openxmlformats.org/officeDocument/2006/relationships/hyperlink" Target="https://chp.org.au/wp-content/uploads/2022/04/Aboriginal-Homelessness-An-Aboriginal-Cultural-Safety-Framework-for-the-Specialist-Homelessness-Sector-4th-draft-with-hi-res-pic-attribution.pdf" TargetMode="External"/>
<Relationship Id="rId22" Type="http://schemas.openxmlformats.org/officeDocument/2006/relationships/hyperlink" Target="https://fac.dffh.vic.gov.au/sites/default/files/2020-07/11_VHR_Homeless_with_Support_operational_guideline%20June%202020.docx" TargetMode="External"/>
<Relationship Id="rId23" Type="http://schemas.openxmlformats.org/officeDocument/2006/relationships/hyperlink" Target="https://fac.dffh.vic.gov.au/policies-and-procedures" TargetMode="External"/>
<Relationship Id="rId24" Type="http://schemas.openxmlformats.org/officeDocument/2006/relationships/hyperlink" Target="http://providers.dffh.vic.gov.au/families-fairness-housing-health-activity-search" TargetMode="External"/>
<Relationship Id="rId25"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Social Impact Investments</w:t>
            </w:r>
          </w:p>
          <w:p>
            <w:pPr>
              <w:spacing w:line="560" w:lineRule="atLeast"/>
              <w:rPr>
                <w:rFonts w:ascii="Arial" w:hAnsi="Arial" w:eastAsia="Arial" w:cs="Arial"/>
                <w:color w:val="201547"/>
                <w:sz w:val="44"/>
              </w:rPr>
            </w:pPr>
            <w:r>
              <w:rPr>
                <w:rFonts w:ascii="Arial" w:hAnsi="Arial" w:eastAsia="Arial" w:cs="Arial"/>
                <w:color w:val="201547"/>
                <w:sz w:val="44"/>
              </w:rPr>
              <w:t>94623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Social Impact Investments activity aims to end the cycle of persistent homelessness through the provision of rapid housing, a trauma-informed key worker model of intensive and long-term case management.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J2SI program takes a relationship-based, trauma-informed, and strengths-based approach in the context of long-term assertive case management. J2SI focuses on capacity building and skills-based support to assist clients in maintaining tenancies, gaining training and employment, and establishing stronger social connections and independence. </w:t>
      </w:r>
      <w:r>
        <w:br/>
      </w:r>
      <w:r>
        <w:br/>
      </w:r>
      <w:r>
        <w:rPr>
          <w:rFonts w:ascii="Arial" w:hAnsi="Arial" w:eastAsia="Arial" w:cs="Arial"/>
          <w:color w:val="000000"/>
          <w:sz w:val="20"/>
        </w:rPr>
        <w:t xml:space="preserve">J2SI is aimed at ending the cycle of chronic homelessness by taking a relationship-based, trauma-informed, and strengths-based approach in the context of long-term assertive case management. The J2SI service model is based on five key components: </w:t>
      </w:r>
      <w:r>
        <w:br/>
      </w:r>
      <w:r>
        <w:br/>
      </w:r>
      <w:r>
        <w:rPr>
          <w:rFonts w:ascii="Arial" w:hAnsi="Arial" w:eastAsia="Arial" w:cs="Arial"/>
          <w:color w:val="000000"/>
          <w:sz w:val="20"/>
        </w:rPr>
        <w:t xml:space="preserve">- Assertive case management and service coordination </w:t>
      </w:r>
      <w:r>
        <w:br/>
      </w:r>
      <w:r>
        <w:rPr>
          <w:rFonts w:ascii="Arial" w:hAnsi="Arial" w:eastAsia="Arial" w:cs="Arial"/>
          <w:color w:val="000000"/>
          <w:sz w:val="20"/>
        </w:rPr>
        <w:t xml:space="preserve">- Rapid housing access and sustaining tenancies </w:t>
      </w:r>
      <w:r>
        <w:br/>
      </w:r>
      <w:r>
        <w:rPr>
          <w:rFonts w:ascii="Arial" w:hAnsi="Arial" w:eastAsia="Arial" w:cs="Arial"/>
          <w:color w:val="000000"/>
          <w:sz w:val="20"/>
        </w:rPr>
        <w:t xml:space="preserve">- Trauma informed practice </w:t>
      </w:r>
      <w:r>
        <w:br/>
      </w:r>
      <w:r>
        <w:rPr>
          <w:rFonts w:ascii="Arial" w:hAnsi="Arial" w:eastAsia="Arial" w:cs="Arial"/>
          <w:color w:val="000000"/>
          <w:sz w:val="20"/>
        </w:rPr>
        <w:t xml:space="preserve">- Building skills for inclusion </w:t>
      </w:r>
      <w:r>
        <w:br/>
      </w:r>
      <w:r>
        <w:rPr>
          <w:rFonts w:ascii="Arial" w:hAnsi="Arial" w:eastAsia="Arial" w:cs="Arial"/>
          <w:color w:val="000000"/>
          <w:sz w:val="20"/>
        </w:rPr>
        <w:t>- Fostering independence</w:t>
      </w:r>
      <w:r>
        <w:br/>
      </w:r>
      <w:r>
        <w:br/>
      </w:r>
      <w:r>
        <w:rPr>
          <w:rFonts w:ascii="Arial" w:hAnsi="Arial" w:eastAsia="Arial" w:cs="Arial"/>
          <w:color w:val="000000"/>
          <w:sz w:val="20"/>
        </w:rPr>
        <w:t xml:space="preserve">J2SI PbR is a three-year program for up to 120 clients. While the J2SI program is expected to achieve a range of outcomes for clients, the J2SI PbR focuses on seven outcomes measures </w:t>
      </w:r>
      <w:r>
        <w:br/>
      </w:r>
      <w:r>
        <w:br/>
      </w:r>
      <w:r>
        <w:rPr>
          <w:rFonts w:ascii="Arial" w:hAnsi="Arial" w:eastAsia="Arial" w:cs="Arial"/>
          <w:color w:val="000000"/>
          <w:sz w:val="20"/>
        </w:rPr>
        <w:t xml:space="preserve">- Increased Stable Housing  </w:t>
      </w:r>
      <w:r>
        <w:br/>
      </w:r>
      <w:r>
        <w:rPr>
          <w:rFonts w:ascii="Arial" w:hAnsi="Arial" w:eastAsia="Arial" w:cs="Arial"/>
          <w:color w:val="000000"/>
          <w:sz w:val="20"/>
        </w:rPr>
        <w:t xml:space="preserve">- Reduction in Hospital Bed Days  </w:t>
      </w:r>
      <w:r>
        <w:br/>
      </w:r>
      <w:r>
        <w:rPr>
          <w:rFonts w:ascii="Arial" w:hAnsi="Arial" w:eastAsia="Arial" w:cs="Arial"/>
          <w:color w:val="000000"/>
          <w:sz w:val="20"/>
        </w:rPr>
        <w:t xml:space="preserve">- Reduction in rough sleeping episodes  </w:t>
      </w:r>
      <w:r>
        <w:br/>
      </w:r>
      <w:r>
        <w:rPr>
          <w:rFonts w:ascii="Arial" w:hAnsi="Arial" w:eastAsia="Arial" w:cs="Arial"/>
          <w:color w:val="000000"/>
          <w:sz w:val="20"/>
        </w:rPr>
        <w:t xml:space="preserve">- Reduction in emergency department presentation  </w:t>
      </w:r>
      <w:r>
        <w:br/>
      </w:r>
      <w:r>
        <w:rPr>
          <w:rFonts w:ascii="Arial" w:hAnsi="Arial" w:eastAsia="Arial" w:cs="Arial"/>
          <w:color w:val="000000"/>
          <w:sz w:val="20"/>
        </w:rPr>
        <w:t xml:space="preserve">- Reduction in police incidents  </w:t>
      </w:r>
      <w:r>
        <w:br/>
      </w:r>
      <w:r>
        <w:rPr>
          <w:rFonts w:ascii="Arial" w:hAnsi="Arial" w:eastAsia="Arial" w:cs="Arial"/>
          <w:color w:val="000000"/>
          <w:sz w:val="20"/>
        </w:rPr>
        <w:t xml:space="preserve">- Increased independence  </w:t>
      </w:r>
      <w:r>
        <w:br/>
      </w:r>
      <w:r>
        <w:rPr>
          <w:rFonts w:ascii="Arial" w:hAnsi="Arial" w:eastAsia="Arial" w:cs="Arial"/>
          <w:color w:val="000000"/>
          <w:sz w:val="20"/>
        </w:rPr>
        <w:t xml:space="preserve">- Increased social connectiveness </w:t>
      </w:r>
      <w:r>
        <w:br/>
      </w:r>
      <w:r>
        <w:br/>
      </w:r>
      <w:r>
        <w:rPr>
          <w:rFonts w:ascii="Arial" w:hAnsi="Arial" w:eastAsia="Arial" w:cs="Arial"/>
          <w:color w:val="000000"/>
          <w:sz w:val="20"/>
        </w:rPr>
        <w:t xml:space="preserve">Performance payments will be available at 24 months, 36 months, and 48 months from a client’s commencement in the program on the achievement: </w:t>
      </w:r>
      <w:r>
        <w:br/>
      </w:r>
      <w:r>
        <w:br/>
      </w:r>
      <w:r>
        <w:rPr>
          <w:rFonts w:ascii="Arial" w:hAnsi="Arial" w:eastAsia="Arial" w:cs="Arial"/>
          <w:color w:val="000000"/>
          <w:sz w:val="20"/>
        </w:rPr>
        <w:t xml:space="preserve">- Increased Stable Housing  </w:t>
      </w:r>
      <w:r>
        <w:br/>
      </w:r>
      <w:r>
        <w:rPr>
          <w:rFonts w:ascii="Arial" w:hAnsi="Arial" w:eastAsia="Arial" w:cs="Arial"/>
          <w:color w:val="000000"/>
          <w:sz w:val="20"/>
        </w:rPr>
        <w:t xml:space="preserve">- Reduction in Hospital Bed Days </w:t>
      </w:r>
      <w:r>
        <w:br/>
      </w:r>
      <w:r>
        <w:br/>
      </w:r>
      <w:r>
        <w:rPr>
          <w:rFonts w:ascii="Arial" w:hAnsi="Arial" w:eastAsia="Arial" w:cs="Arial"/>
          <w:color w:val="000000"/>
          <w:sz w:val="20"/>
        </w:rPr>
        <w:t xml:space="preserve">A portion of funding is subject to achieving the performance targets for the two key outcome measures. See Schedule 2 of the Service Agreement and the J2SI PbR Payments and Outcome Performance Calculation Requirements for more information pertaining to performance targets and funds.  </w:t>
      </w:r>
      <w:r>
        <w:br/>
      </w:r>
      <w:r>
        <w:br/>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this activity is targeted at is individuals who are experiencing chronic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&lt;https://fac.dffh.vic.gov.au/victorian-housing-register&gt;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Program Requirements for Social Impact Investment – J2SI PbR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Social Impact Investment – J2SI PbR Early Intervention and Investment Framework (EIIF) Outcome Measures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Social Impact Investment – J2SI PbR Payments and Outcome Performance Calculation Requirements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Social Impact Investment – J2SI PbR Housing Management and Requirements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22"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23"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he aim of this performance measure is to confirm and monitor the number of clients accessing the program.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Up to 120 clients, across two cohorts (Cohort A and Cohort B) of 60 clients each, who commence the 3-year J2SI program. </w:t>
            </w:r>
            <w:r>
              <w:br/>
            </w:r>
            <w:r>
              <w:rPr>
                <w:rFonts w:ascii="Arial" w:hAnsi="Arial" w:eastAsia="Arial" w:cs="Arial"/>
                <w:color w:val="000000"/>
                <w:sz w:val="20"/>
              </w:rPr>
              <w:t xml:space="preserve">Count the number of clients at the end of the referral engagement period who agree to proceed with three-year program and who will be measured against the Stable Housing and Hospital Bed Day Outcomes.  </w:t>
            </w:r>
            <w:r>
              <w:br/>
            </w:r>
            <w:r>
              <w:br/>
            </w:r>
            <w:r>
              <w:rPr>
                <w:rFonts w:ascii="Arial" w:hAnsi="Arial" w:eastAsia="Arial" w:cs="Arial"/>
                <w:color w:val="000000"/>
                <w:sz w:val="20"/>
              </w:rPr>
              <w:t xml:space="preserve">Cohort 	Referral intake 	End of referral engagement period  </w:t>
            </w:r>
            <w:r>
              <w:br/>
            </w:r>
            <w:r>
              <w:rPr>
                <w:rFonts w:ascii="Arial" w:hAnsi="Arial" w:eastAsia="Arial" w:cs="Arial"/>
                <w:color w:val="000000"/>
                <w:sz w:val="20"/>
              </w:rPr>
              <w:t xml:space="preserve">Cohort A (n= 30-40 clients)	October 2021	31 January 2022  </w:t>
            </w:r>
            <w:r>
              <w:br/>
            </w:r>
            <w:r>
              <w:rPr>
                <w:rFonts w:ascii="Arial" w:hAnsi="Arial" w:eastAsia="Arial" w:cs="Arial"/>
                <w:color w:val="000000"/>
                <w:sz w:val="20"/>
              </w:rPr>
              <w:t xml:space="preserve">Cohort A (n= 30-40 clients)	February 2022	31 May 2022  </w:t>
            </w:r>
            <w:r>
              <w:br/>
            </w:r>
            <w:r>
              <w:rPr>
                <w:rFonts w:ascii="Arial" w:hAnsi="Arial" w:eastAsia="Arial" w:cs="Arial"/>
                <w:color w:val="000000"/>
                <w:sz w:val="20"/>
              </w:rPr>
              <w:t xml:space="preserve">Cohort B (n=60 clients)	October 2022	31 January 2023  </w:t>
            </w:r>
            <w:r>
              <w:br/>
            </w:r>
            <w:r>
              <w:br/>
            </w:r>
            <w:r>
              <w:rPr>
                <w:rFonts w:ascii="Arial" w:hAnsi="Arial" w:eastAsia="Arial" w:cs="Arial"/>
                <w:color w:val="000000"/>
                <w:sz w:val="20"/>
              </w:rPr>
              <w:t xml:space="preserve">Count the number of active clients at each Stable Housing and Hospital Bed Day performance measurement Monitoring Date. </w:t>
            </w:r>
            <w:r>
              <w:br/>
            </w:r>
            <w:r>
              <w:br/>
            </w:r>
            <w:r>
              <w:rPr>
                <w:rFonts w:ascii="Arial" w:hAnsi="Arial" w:eastAsia="Arial" w:cs="Arial"/>
                <w:color w:val="000000"/>
                <w:sz w:val="20"/>
              </w:rPr>
              <w:t xml:space="preserve">Monitoring Date </w:t>
            </w:r>
            <w:r>
              <w:br/>
            </w:r>
            <w:r>
              <w:rPr>
                <w:rFonts w:ascii="Arial" w:hAnsi="Arial" w:eastAsia="Arial" w:cs="Arial"/>
                <w:color w:val="000000"/>
                <w:sz w:val="20"/>
              </w:rPr>
              <w:t xml:space="preserve">31 January 2024 </w:t>
            </w:r>
            <w:r>
              <w:br/>
            </w:r>
            <w:r>
              <w:rPr>
                <w:rFonts w:ascii="Arial" w:hAnsi="Arial" w:eastAsia="Arial" w:cs="Arial"/>
                <w:color w:val="000000"/>
                <w:sz w:val="20"/>
              </w:rPr>
              <w:t xml:space="preserve">31 January 2025 </w:t>
            </w:r>
            <w:r>
              <w:br/>
            </w:r>
            <w:r>
              <w:rPr>
                <w:rFonts w:ascii="Arial" w:hAnsi="Arial" w:eastAsia="Arial" w:cs="Arial"/>
                <w:color w:val="000000"/>
                <w:sz w:val="20"/>
              </w:rPr>
              <w:t xml:space="preserve">31 January 2026 </w:t>
            </w:r>
            <w:r>
              <w:br/>
            </w:r>
            <w:r>
              <w:rPr>
                <w:rFonts w:ascii="Arial" w:hAnsi="Arial" w:eastAsia="Arial" w:cs="Arial"/>
                <w:color w:val="000000"/>
                <w:sz w:val="20"/>
              </w:rPr>
              <w:t>30 September 2026</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client is an individual assessed as having meet the eligibility criteria as detailed in the J2SI PbR Program Requirements. </w:t>
            </w:r>
            <w:r>
              <w:br/>
            </w:r>
            <w:r>
              <w:br/>
            </w:r>
            <w:r>
              <w:rPr>
                <w:rFonts w:ascii="Arial" w:hAnsi="Arial" w:eastAsia="Arial" w:cs="Arial"/>
                <w:color w:val="000000"/>
                <w:sz w:val="20"/>
              </w:rPr>
              <w:t>Active clients are defined as detailed in the J2SI PbR Payments and Outcome Performance Calculation Requirements.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Percentage Reduction in Hospital Bed Days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assess the percentage difference in average Hospital Bed Days for the Cohort at specific Measurement Dates compared to the 12 months prior to commencement in the program (baseline).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Calculate the percentage difference in the average number of Hospital Bed Days of the relevant Cohort at 24 months, 36 months and 48 months after the Cohort commenced in the program, compared to the Cohort’s average Hospital Bed Day baseline.  </w:t>
            </w:r>
            <w:r>
              <w:br/>
            </w:r>
            <w:r>
              <w:rPr>
                <w:rFonts w:ascii="Arial" w:hAnsi="Arial" w:eastAsia="Arial" w:cs="Arial"/>
                <w:color w:val="000000"/>
                <w:sz w:val="20"/>
              </w:rPr>
              <w:t>See J2SI PbR Payments and Outcome Performance Calculation Requirements for detailed calculation and measurement definitions and processes.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Admitted Episodes Dataset (VAED)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See J2SI PbR Payments and Outcome Performance Calculation Requirements for detailed calculation and measurement definitions and processes.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Percentage in Stable Housing</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he aim of this performance measure is to assess the percentage of the Cohort in Stable Housing at specific Measurement Dates,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Calculate the number of clients within the relevant Cohort in Stable Housing at 24 months, 36 months and 48 months after the Cohort commenced in the program.  </w:t>
            </w:r>
            <w:r>
              <w:br/>
            </w:r>
            <w:r>
              <w:rPr>
                <w:rFonts w:ascii="Arial" w:hAnsi="Arial" w:eastAsia="Arial" w:cs="Arial"/>
                <w:color w:val="000000"/>
                <w:sz w:val="20"/>
              </w:rPr>
              <w:t xml:space="preserve">Client will be deemed as not in Stable Housing if they have accessed crisis accommodation (for reasons other than for family violence reasons) in the 12 months prior to their Measurement Date. </w:t>
            </w:r>
            <w:r>
              <w:br/>
            </w:r>
            <w:r>
              <w:rPr>
                <w:rFonts w:ascii="Arial" w:hAnsi="Arial" w:eastAsia="Arial" w:cs="Arial"/>
                <w:color w:val="000000"/>
                <w:sz w:val="20"/>
              </w:rPr>
              <w:t>See J2SI PbR Payments and Outcome Performance Calculation Requirements for detailed calculation and measurement definitions and processes.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Homelessness Data Collection (HDC)</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See J2SI PbR Payments and Outcome Performance Calculation Requirements for detailed calculation and measurement definitions and processes. </w:t>
            </w:r>
            <w:r>
              <w:br/>
            </w:r>
            <w:r>
              <w:rPr>
                <w:rFonts w:ascii="Arial" w:hAnsi="Arial" w:eastAsia="Arial" w:cs="Arial"/>
                <w:color w:val="000000"/>
                <w:sz w:val="20"/>
              </w:rPr>
              <w:t>Data to be reported in accordance with the Specialist homelessness services Collection Resources. Case notes required, on exception.</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Admitted Episodes Dataset (VAED)</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AIMS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Dataset of the causes, effects and nature of illness, and the use of health services provided to the Department of Health by Victorian public and private hospitals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As Required</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provided to the Department of Families, Fairness and Housing (as HDC)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Homelessness Data Collection (HDC)</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provided to the Department of Families, Fairness and Housing (as HDC)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Client Participant Details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Provided to the Department of Families, Fairness and Housing as a deidentified excel file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As Required</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January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94623 Social Impact Investments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