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Tenancy Administration Transitional 94588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www.housingregistrar.vic.gov.au/Publications" TargetMode="External"/>
<Relationship Id="rId12" Type="http://schemas.openxmlformats.org/officeDocument/2006/relationships/hyperlink" Target="https://www.aihw.gov.au/about-our-data/our-data-collections/specialist-homelessness-services-collection" TargetMode="External"/>
<Relationship Id="rId13" Type="http://schemas.openxmlformats.org/officeDocument/2006/relationships/hyperlink" Target="https://fac.dffh.vic.gov.au/homelessness-services-guidelines-and-conditions-funding" TargetMode="External"/>
<Relationship Id="rId14" Type="http://schemas.openxmlformats.org/officeDocument/2006/relationships/hyperlink" Target="https://www.legislation.vic.gov.au/in-force/acts/residential-tenancies-act-1997/105" TargetMode="External"/>
<Relationship Id="rId15" Type="http://schemas.openxmlformats.org/officeDocument/2006/relationships/hyperlink" Target="https://www.dffh.vic.gov.au/publications/victorias-homelessness-and-rough-sleeping-action-plan" TargetMode="External"/>
<Relationship Id="rId16" Type="http://schemas.openxmlformats.org/officeDocument/2006/relationships/hyperlink" Target="https://fac.dffh.vic.gov.au/victorian-housing-register" TargetMode="External"/>
<Relationship Id="rId17" Type="http://schemas.openxmlformats.org/officeDocument/2006/relationships/hyperlink" Target="https://nrsch.gov.au/providers/guidance-and-policy.html" TargetMode="External"/>
<Relationship Id="rId18" Type="http://schemas.openxmlformats.org/officeDocument/2006/relationships/hyperlink" Target="https://www.legislation.vic.gov.au/as-made/statutory-rules/residential-tenancies-regulations-2021-0" TargetMode="External"/>
<Relationship Id="rId19" Type="http://schemas.openxmlformats.org/officeDocument/2006/relationships/hyperlink" Target="https://vahhf.org.au/wp-content/uploads/2023/09/victorian-aboriginal-housing-and-homelessness-framework_complete_26_02_20-2.pdf" TargetMode="External"/>
<Relationship Id="rId20" Type="http://schemas.openxmlformats.org/officeDocument/2006/relationships/hyperlink" Target="https://vahhf.org.au/wp-content/uploads/2023/09/Blueprint.pdf" TargetMode="External"/>
<Relationship Id="rId21" Type="http://schemas.openxmlformats.org/officeDocument/2006/relationships/hyperlink" Target="https://chp.org.au/wp-content/uploads/2022/04/Aboriginal-Homelessness-An-Aboriginal-Cultural-Safety-Framework-for-the-Specialist-Homelessness-Sector-4th-draft-with-hi-res-pic-attribution.pdf" TargetMode="External"/>
<Relationship Id="rId22" Type="http://schemas.openxmlformats.org/officeDocument/2006/relationships/hyperlink" Target="https://fac.dffh.vic.gov.au/sites/default/files/2020-07/11_VHR_Homeless_with_Support_operational_guideline%20June%202020.docx" TargetMode="External"/>
<Relationship Id="rId23" Type="http://schemas.openxmlformats.org/officeDocument/2006/relationships/hyperlink" Target="https://fac.dffh.vic.gov.au/policies-and-procedures"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Tenancy Administration Transitional</w:t>
            </w:r>
          </w:p>
          <w:p>
            <w:pPr>
              <w:spacing w:line="560" w:lineRule="atLeast"/>
              <w:rPr>
                <w:rFonts w:ascii="Arial" w:hAnsi="Arial" w:eastAsia="Arial" w:cs="Arial"/>
                <w:color w:val="201547"/>
                <w:sz w:val="44"/>
              </w:rPr>
            </w:pPr>
            <w:r>
              <w:rPr>
                <w:rFonts w:ascii="Arial" w:hAnsi="Arial" w:eastAsia="Arial" w:cs="Arial"/>
                <w:color w:val="201547"/>
                <w:sz w:val="44"/>
              </w:rPr>
              <w:t>94588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Transitional Housing Management (THM) - Tenancy Administration Transitional  aims to provide short-term housing assistance to people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Transitional Housing Management (THM) - Tenancy Administration Transitional  provides Director of Housing owned and leased properties to THM services to manage. THM services are required to ensure that all properties are maintained to an appropriate standard by: </w:t>
      </w:r>
      <w:r>
        <w:br/>
      </w:r>
      <w:r>
        <w:rPr>
          <w:rFonts w:ascii="Arial" w:hAnsi="Arial" w:eastAsia="Arial" w:cs="Arial"/>
          <w:color w:val="000000"/>
          <w:sz w:val="20"/>
        </w:rPr>
        <w:t xml:space="preserve">• furnishing new properties </w:t>
      </w:r>
      <w:r>
        <w:br/>
      </w:r>
      <w:r>
        <w:rPr>
          <w:rFonts w:ascii="Arial" w:hAnsi="Arial" w:eastAsia="Arial" w:cs="Arial"/>
          <w:color w:val="000000"/>
          <w:sz w:val="20"/>
        </w:rPr>
        <w:t xml:space="preserve">• arranging minor responsive maintenance and refurnishing vacant properties using the property allowance component of the funding </w:t>
      </w:r>
      <w:r>
        <w:br/>
      </w:r>
      <w:r>
        <w:rPr>
          <w:rFonts w:ascii="Arial" w:hAnsi="Arial" w:eastAsia="Arial" w:cs="Arial"/>
          <w:color w:val="000000"/>
          <w:sz w:val="20"/>
        </w:rPr>
        <w:t xml:space="preserve">• report major maintenance requirements to the department. </w:t>
      </w:r>
      <w:r>
        <w:br/>
      </w:r>
      <w:r>
        <w:rPr>
          <w:rFonts w:ascii="Arial" w:hAnsi="Arial" w:eastAsia="Arial" w:cs="Arial"/>
          <w:color w:val="000000"/>
          <w:sz w:val="20"/>
        </w:rPr>
        <w:t xml:space="preserve">The tenancy administration functions undertaken by THMs include:  </w:t>
      </w:r>
      <w:r>
        <w:br/>
      </w:r>
      <w:r>
        <w:rPr>
          <w:rFonts w:ascii="Arial" w:hAnsi="Arial" w:eastAsia="Arial" w:cs="Arial"/>
          <w:color w:val="000000"/>
          <w:sz w:val="20"/>
        </w:rPr>
        <w:t xml:space="preserve">• ensuring that those most in need have access to transitional housing properties </w:t>
      </w:r>
      <w:r>
        <w:br/>
      </w:r>
      <w:r>
        <w:rPr>
          <w:rFonts w:ascii="Arial" w:hAnsi="Arial" w:eastAsia="Arial" w:cs="Arial"/>
          <w:color w:val="000000"/>
          <w:sz w:val="20"/>
        </w:rPr>
        <w:t xml:space="preserve">• negotiating and monitoring tenancy/occupancy agreements </w:t>
      </w:r>
      <w:r>
        <w:br/>
      </w:r>
      <w:r>
        <w:rPr>
          <w:rFonts w:ascii="Arial" w:hAnsi="Arial" w:eastAsia="Arial" w:cs="Arial"/>
          <w:color w:val="000000"/>
          <w:sz w:val="20"/>
        </w:rPr>
        <w:t xml:space="preserve">• collecting rent from tenants </w:t>
      </w:r>
      <w:r>
        <w:br/>
      </w:r>
      <w:r>
        <w:rPr>
          <w:rFonts w:ascii="Arial" w:hAnsi="Arial" w:eastAsia="Arial" w:cs="Arial"/>
          <w:color w:val="000000"/>
          <w:sz w:val="20"/>
        </w:rPr>
        <w:t xml:space="preserve">• ensuring properties are maintained to Director of Housing Standards contained in the Public Housing Policy and Practice Manuals </w:t>
      </w:r>
      <w:r>
        <w:br/>
      </w:r>
      <w:r>
        <w:rPr>
          <w:rFonts w:ascii="Arial" w:hAnsi="Arial" w:eastAsia="Arial" w:cs="Arial"/>
          <w:color w:val="000000"/>
          <w:sz w:val="20"/>
        </w:rPr>
        <w:t xml:space="preserve">• assisting people in transitional properties to sustain tenancies for periods from three months up to 12 months, and 18 months for young people </w:t>
      </w:r>
      <w:r>
        <w:br/>
      </w:r>
      <w:r>
        <w:rPr>
          <w:rFonts w:ascii="Arial" w:hAnsi="Arial" w:eastAsia="Arial" w:cs="Arial"/>
          <w:color w:val="000000"/>
          <w:sz w:val="20"/>
        </w:rPr>
        <w:t xml:space="preserve">• assisting people to sustain tenancies in line with the provisions of the Residential Tenancy Act 1997 </w:t>
      </w:r>
      <w:r>
        <w:br/>
      </w:r>
      <w:r>
        <w:rPr>
          <w:rFonts w:ascii="Arial" w:hAnsi="Arial" w:eastAsia="Arial" w:cs="Arial"/>
          <w:color w:val="000000"/>
          <w:sz w:val="20"/>
        </w:rPr>
        <w:t>• working collaboratively with support services assisting people to sustain their tenancies.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group people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Victorian Gazetted Performance Standards for Registered Housing Providers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&lt;http://www.housingregistrar.vic.gov.au/Publications&gt;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Residential Tenancies Act 1997</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&lt;https://www.legislation.vic.gov.au/in-force/acts/residential-tenancies-act-1997/105&gt;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National Regulatory System – Community Housing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 https://nrsch.gov.au/providers/guidance-and-policy.html&gt;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Residential Tenancies Regulations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&lt;https://www.legislation.vic.gov.au/as-made/statutory-rules/residential-tenancies-regulations-2021-0&gt;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tenancies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tenancies by household in the THM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tenancies during the reporting period. </w:t>
            </w:r>
            <w:r>
              <w:br/>
            </w:r>
            <w:r>
              <w:rPr>
                <w:rFonts w:ascii="Arial" w:hAnsi="Arial" w:eastAsia="Arial" w:cs="Arial"/>
                <w:color w:val="000000"/>
                <w:sz w:val="20"/>
              </w:rPr>
              <w:t xml:space="preserve">New tenancies are determined using commencement dates of support. </w:t>
            </w:r>
            <w:r>
              <w:br/>
            </w:r>
            <w:r>
              <w:rPr>
                <w:rFonts w:ascii="Arial" w:hAnsi="Arial" w:eastAsia="Arial" w:cs="Arial"/>
                <w:color w:val="000000"/>
                <w:sz w:val="20"/>
              </w:rPr>
              <w:t xml:space="preserve">If a household exits accommodation and presents again after seven nights, this will be counted as a new tenancy. </w:t>
            </w:r>
            <w:r>
              <w:br/>
            </w:r>
            <w:r>
              <w:rPr>
                <w:rFonts w:ascii="Arial" w:hAnsi="Arial" w:eastAsia="Arial" w:cs="Arial"/>
                <w:color w:val="000000"/>
                <w:sz w:val="20"/>
              </w:rPr>
              <w:t xml:space="preserve">Counting rule example: </w:t>
            </w:r>
            <w:r>
              <w:br/>
            </w:r>
            <w:r>
              <w:rPr>
                <w:rFonts w:ascii="Arial" w:hAnsi="Arial" w:eastAsia="Arial" w:cs="Arial"/>
                <w:color w:val="000000"/>
                <w:sz w:val="20"/>
              </w:rPr>
              <w:t>A family of four moves into a crisis property during the reporting month and stays for one week up to seven months. They are only counted once, as one new tenancy, during the month that they moved into the property. They are not counted as new tenancies in subsequent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tenancy is defined as the provision of a period of accommodation to a household. </w:t>
            </w:r>
            <w:r>
              <w:br/>
            </w:r>
            <w:r>
              <w:rPr>
                <w:rFonts w:ascii="Arial" w:hAnsi="Arial" w:eastAsia="Arial" w:cs="Arial"/>
                <w:color w:val="000000"/>
                <w:sz w:val="20"/>
              </w:rPr>
              <w:t xml:space="preserve">A household is defined as a person or people who present a single application for assistance. An application may include more than one person being assisted (e.g. children and couples presenting a single application for assistance are not counted separately but are counted as one household). </w:t>
            </w:r>
            <w:r>
              <w:br/>
            </w:r>
            <w:r>
              <w:rPr>
                <w:rFonts w:ascii="Arial" w:hAnsi="Arial" w:eastAsia="Arial" w:cs="Arial"/>
                <w:color w:val="000000"/>
                <w:sz w:val="20"/>
              </w:rPr>
              <w:t xml:space="preserve">A new tenancy is defined as a tenancy which commenced during the reporting period. A tenancy commences on the day on which the client/s move into the property. </w:t>
            </w:r>
            <w:r>
              <w:br/>
            </w:r>
            <w:r>
              <w:rPr>
                <w:rFonts w:ascii="Arial" w:hAnsi="Arial" w:eastAsia="Arial" w:cs="Arial"/>
                <w:color w:val="000000"/>
                <w:sz w:val="20"/>
              </w:rPr>
              <w:t>An existing tenancy is defined as a tenancy which was already in place at the beginning of the reporting period. It does not include any tenancy which commenced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THM Property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Property Management Systems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Transitional housing management property data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THM Rental Remittance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Property Management Systems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Transitional housing management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94588 Tenancy Administration Transitional</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