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Tenancy Plus - Establishment and Intervention 91424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public-housing-infrastructure-program-framework-and-funding-guidelines-word" TargetMode="External"/>
<Relationship Id="rId12" Type="http://schemas.openxmlformats.org/officeDocument/2006/relationships/hyperlink" Target="https://www.aihw.gov.au/about-our-data/our-data-collections/specialist-homelessness-services-collection" TargetMode="External"/>
<Relationship Id="rId13" Type="http://schemas.openxmlformats.org/officeDocument/2006/relationships/hyperlink" Target="https://fac.dffh.vic.gov.au/homelessness-services-guidelines-and-conditions-funding" TargetMode="External"/>
<Relationship Id="rId14" Type="http://schemas.openxmlformats.org/officeDocument/2006/relationships/hyperlink" Target="https://providers.dffh.vic.gov.au/tenancy-plus-tenancy-support-program-operational-guidelines" TargetMode="External"/>
<Relationship Id="rId15" Type="http://schemas.openxmlformats.org/officeDocument/2006/relationships/hyperlink" Target="https://www.dffh.vic.gov.au/publications/victorias-homelessness-and-rough-sleeping-action-plan" TargetMode="External"/>
<Relationship Id="rId16" Type="http://schemas.openxmlformats.org/officeDocument/2006/relationships/hyperlink" Target="https://fac.dhhs.vic.gov.au/victorian-housing-register" TargetMode="External"/>
<Relationship Id="rId17" Type="http://schemas.openxmlformats.org/officeDocument/2006/relationships/hyperlink" Target="https://vahhf.org.au/wp-content/uploads/2023/09/victorian-aboriginal-housing-and-homelessness-framework_complete_26_02_20-2.pdf" TargetMode="External"/>
<Relationship Id="rId18" Type="http://schemas.openxmlformats.org/officeDocument/2006/relationships/hyperlink" Target="https://vahhf.org.au/wp-content/uploads/2023/09/Blueprint.pdf" TargetMode="External"/>
<Relationship Id="rId19" Type="http://schemas.openxmlformats.org/officeDocument/2006/relationships/hyperlink" Target="https://chp.org.au/wp-content/uploads/2022/04/Aboriginal-Homelessness-An-Aboriginal-Cultural-Safety-Framework-for-the-Specialist-Homelessness-Sector-4th-draft-with-hi-res-pic-attribution.pdf" TargetMode="External"/>
<Relationship Id="rId20" Type="http://schemas.openxmlformats.org/officeDocument/2006/relationships/hyperlink" Target="https://fac.dffh.vic.gov.au/sites/default/files/2020-07/11_VHR_Homeless_with_Support_operational_guideline%20June%202020.docx" TargetMode="External"/>
<Relationship Id="rId21" Type="http://schemas.openxmlformats.org/officeDocument/2006/relationships/hyperlink" Target="https://providers.dffh.vic.gov.au/public-housing-policy-and-practice-manuals" TargetMode="External"/>
<Relationship Id="rId22" Type="http://schemas.openxmlformats.org/officeDocument/2006/relationships/hyperlink" Target="http://providers.dffh.vic.gov.au/families-fairness-housing-health-activity-search" TargetMode="External"/>
<Relationship Id="rId2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Tenancy Plus - Establishment and Intervention</w:t>
            </w:r>
          </w:p>
          <w:p>
            <w:pPr>
              <w:spacing w:line="560" w:lineRule="atLeast"/>
              <w:rPr>
                <w:rFonts w:ascii="Arial" w:hAnsi="Arial" w:eastAsia="Arial" w:cs="Arial"/>
                <w:color w:val="201547"/>
                <w:sz w:val="44"/>
              </w:rPr>
            </w:pPr>
            <w:r>
              <w:rPr>
                <w:rFonts w:ascii="Arial" w:hAnsi="Arial" w:eastAsia="Arial" w:cs="Arial"/>
                <w:color w:val="201547"/>
                <w:sz w:val="44"/>
              </w:rPr>
              <w:t>91424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Tenancy Plus - Establishment and Intervention activity aims to provide support to people in social housing to assist them to establish and sustain their tenancy and prevent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program has two streams of support: </w:t>
      </w:r>
      <w:r>
        <w:br/>
      </w:r>
      <w:r>
        <w:rPr>
          <w:rFonts w:ascii="Arial" w:hAnsi="Arial" w:eastAsia="Arial" w:cs="Arial"/>
          <w:color w:val="000000"/>
          <w:sz w:val="20"/>
        </w:rPr>
        <w:t xml:space="preserve">• establish successful tenancies  </w:t>
      </w:r>
      <w:r>
        <w:br/>
      </w:r>
      <w:r>
        <w:rPr>
          <w:rFonts w:ascii="Arial" w:hAnsi="Arial" w:eastAsia="Arial" w:cs="Arial"/>
          <w:color w:val="000000"/>
          <w:sz w:val="20"/>
        </w:rPr>
        <w:t xml:space="preserve">• intervene when tenancies are at risk. </w:t>
      </w:r>
      <w:r>
        <w:br/>
      </w:r>
      <w:r>
        <w:rPr>
          <w:rFonts w:ascii="Arial" w:hAnsi="Arial" w:eastAsia="Arial" w:cs="Arial"/>
          <w:color w:val="000000"/>
          <w:sz w:val="20"/>
        </w:rPr>
        <w:t xml:space="preserve">Both streams require assessment, referral and case management to address needs and risk factors that may make or are making tenancies within social housing vulnerable. </w:t>
      </w:r>
      <w:r>
        <w:br/>
      </w:r>
      <w:r>
        <w:rPr>
          <w:rFonts w:ascii="Arial" w:hAnsi="Arial" w:eastAsia="Arial" w:cs="Arial"/>
          <w:color w:val="000000"/>
          <w:sz w:val="20"/>
        </w:rPr>
        <w:t xml:space="preserve">Both streams provide direct support to renters through the: </w:t>
      </w:r>
      <w:r>
        <w:br/>
      </w:r>
      <w:r>
        <w:rPr>
          <w:rFonts w:ascii="Arial" w:hAnsi="Arial" w:eastAsia="Arial" w:cs="Arial"/>
          <w:color w:val="000000"/>
          <w:sz w:val="20"/>
        </w:rPr>
        <w:t>• development of a client support plan with the renter that identifies and addresses underlying issues which are contributing or may contribute to the risk of tenancy breakdown.</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The client group: this activity is targeted at people living in or entering social housing that require support to sustain their tenancies, including: </w:t>
      </w:r>
      <w:r>
        <w:br/>
      </w:r>
      <w:r>
        <w:rPr>
          <w:rFonts w:ascii="Arial" w:hAnsi="Arial" w:eastAsia="Arial" w:cs="Arial"/>
          <w:color w:val="000000"/>
          <w:sz w:val="20"/>
        </w:rPr>
        <w:t xml:space="preserve">• singles, couples and families </w:t>
      </w:r>
      <w:r>
        <w:br/>
      </w:r>
      <w:r>
        <w:rPr>
          <w:rFonts w:ascii="Arial" w:hAnsi="Arial" w:eastAsia="Arial" w:cs="Arial"/>
          <w:color w:val="000000"/>
          <w:sz w:val="20"/>
        </w:rPr>
        <w:t xml:space="preserve">• women and children who are experiencing, have fled family violence </w:t>
      </w:r>
      <w:r>
        <w:br/>
      </w:r>
      <w:r>
        <w:rPr>
          <w:rFonts w:ascii="Arial" w:hAnsi="Arial" w:eastAsia="Arial" w:cs="Arial"/>
          <w:color w:val="000000"/>
          <w:sz w:val="20"/>
        </w:rPr>
        <w:t xml:space="preserve">• forgotten Australians/Care leavers </w:t>
      </w:r>
      <w:r>
        <w:br/>
      </w:r>
      <w:r>
        <w:rPr>
          <w:rFonts w:ascii="Arial" w:hAnsi="Arial" w:eastAsia="Arial" w:cs="Arial"/>
          <w:color w:val="000000"/>
          <w:sz w:val="20"/>
        </w:rPr>
        <w:t>• young people aged between 16 and 25 years.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Public Housing Infrastructure Program (PHIP)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&lt;https://providers.dffh.vic.gov.au/public-housing-infrastructure-program-framework-and-funding-guidelines-word&gt;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Tenancy plus – Tenancy support program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&lt;https://providers.dffh.vic.gov.au/tenancy-plus-tenancy-support-program-operational-guidelines&gt;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Public Housing Policy and Practice Manuals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&lt;https://providers.dffh.vic.gov.au/public-housing-policy-and-practice-manuals&gt;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client support periods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 requiring assessment, referral and case management.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new period of support provided where case assessment has taken place, client needs identified, and a client support plan established during the reporting period (calendar month). New periods of support are determined using commencement dates of support. </w:t>
            </w:r>
            <w:r>
              <w:br/>
            </w:r>
            <w:r>
              <w:rPr>
                <w:rFonts w:ascii="Arial" w:hAnsi="Arial" w:eastAsia="Arial" w:cs="Arial"/>
                <w:color w:val="000000"/>
                <w:sz w:val="20"/>
              </w:rPr>
              <w:t xml:space="preserve">A client support plan is a personal plan or a support agreement that contains a statement of the client’s problems or needs, goals for the client and strategies to achieve those goals. Under this activity every client is expected to have a client support plan. </w:t>
            </w:r>
            <w:r>
              <w:br/>
            </w:r>
            <w:r>
              <w:rPr>
                <w:rFonts w:ascii="Arial" w:hAnsi="Arial" w:eastAsia="Arial" w:cs="Arial"/>
                <w:color w:val="000000"/>
                <w:sz w:val="20"/>
              </w:rPr>
              <w:t xml:space="preserve">If a support period is closed for more than four weeks, and the client presents again and is provided with additional support and assessment of needs takes place, this will be counted as a new support period. </w:t>
            </w:r>
            <w:r>
              <w:br/>
            </w:r>
            <w:r>
              <w:rPr>
                <w:rFonts w:ascii="Arial" w:hAnsi="Arial" w:eastAsia="Arial" w:cs="Arial"/>
                <w:color w:val="000000"/>
                <w:sz w:val="20"/>
              </w:rPr>
              <w:t xml:space="preserve">A period of support should be closed if a client has not been provided with a service during a period of four weeks </w:t>
            </w:r>
            <w:r>
              <w:br/>
            </w:r>
            <w:r>
              <w:rPr>
                <w:rFonts w:ascii="Arial" w:hAnsi="Arial" w:eastAsia="Arial" w:cs="Arial"/>
                <w:color w:val="000000"/>
                <w:sz w:val="20"/>
              </w:rPr>
              <w:t xml:space="preserve">Counting rule example: </w:t>
            </w:r>
            <w:r>
              <w:br/>
            </w:r>
            <w:r>
              <w:rPr>
                <w:rFonts w:ascii="Arial" w:hAnsi="Arial" w:eastAsia="Arial" w:cs="Arial"/>
                <w:color w:val="000000"/>
                <w:sz w:val="20"/>
              </w:rPr>
              <w:t>A new renter or existing renter is assessed and a client support plan that addresses the client’s needs to achieve a sustainable tenancy is developed with the client and support provided then this is considered to be a support period under the counting rules.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is defined as an individual or a family receiving case management under the Establish successful tenancies/Intervene when tenancies are at risk. </w:t>
            </w:r>
            <w:r>
              <w:br/>
            </w:r>
            <w:r>
              <w:rPr>
                <w:rFonts w:ascii="Arial" w:hAnsi="Arial" w:eastAsia="Arial" w:cs="Arial"/>
                <w:color w:val="000000"/>
                <w:sz w:val="20"/>
              </w:rPr>
              <w:t xml:space="preserve">Support refers to the provision of case management support including active referrals to people residing in social housing. </w:t>
            </w:r>
            <w:r>
              <w:br/>
            </w:r>
            <w:r>
              <w:rPr>
                <w:rFonts w:ascii="Arial" w:hAnsi="Arial" w:eastAsia="Arial" w:cs="Arial"/>
                <w:color w:val="000000"/>
                <w:sz w:val="20"/>
              </w:rPr>
              <w:t xml:space="preserve">A support period is defined as new if it commenced during the reporting period. </w:t>
            </w:r>
            <w:r>
              <w:br/>
            </w:r>
            <w:r>
              <w:rPr>
                <w:rFonts w:ascii="Arial" w:hAnsi="Arial" w:eastAsia="Arial" w:cs="Arial"/>
                <w:color w:val="000000"/>
                <w:sz w:val="20"/>
              </w:rPr>
              <w:t>In Victoria, a service comprises episodes of support, which are defined in line with the Specialist Homelessness Services data collection definition of a support period. Detailed information is contained on the Specialist Homelessness Information Platform.</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Percentage of clients with an agreed case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he aim of this performance measure is to monitor the percentage of clients with an agreed support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The percentage is calculated as the number of clients who are assisted to identify goals and to develop a support plan, divided by the total number of clients. </w:t>
            </w:r>
            <w:r>
              <w:br/>
            </w:r>
            <w:r>
              <w:rPr>
                <w:rFonts w:ascii="Arial" w:hAnsi="Arial" w:eastAsia="Arial" w:cs="Arial"/>
                <w:color w:val="000000"/>
                <w:sz w:val="20"/>
              </w:rPr>
              <w:t>The number of clients who are assisted to identify goals and to develop a support plan is required to be reported as a data collection item, in addition to the percentage calculated above.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is a person who directly receives a service. In Victoria a service comprises episodes of support which are defined in line with the data collection definition of a support period. Detailed information is contained on the Specialist Homelessness Information Platform.  </w:t>
            </w:r>
            <w:r>
              <w:br/>
            </w:r>
            <w:r>
              <w:rPr>
                <w:rFonts w:ascii="Arial" w:hAnsi="Arial" w:eastAsia="Arial" w:cs="Arial"/>
                <w:color w:val="000000"/>
                <w:sz w:val="20"/>
              </w:rPr>
              <w:t>A support plan is a personal plan or a support agreement that usually has a statement of the client’s problems or needs, some goals for the client and strategies to achieve those goals. Every client is expected to have a support plan.</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91424 Tenancy Plus - Establishment and Intervention</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