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Perpetrators Responses Family Violence 38029</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humanrights.vic.gov.au/resources/family-violence-services-and-accommodation-guideline/" TargetMode="External"/>
<Relationship Id="rId12" Type="http://schemas.openxmlformats.org/officeDocument/2006/relationships/hyperlink" Target="https://providers.dffh.vic.gov.au/family-violence-risk-assessment-and-risk-management-framework" TargetMode="External"/>
<Relationship Id="rId13" Type="http://schemas.openxmlformats.org/officeDocument/2006/relationships/hyperlink" Target="https://providers.dffh.vic.gov.au/mens-behaviour-change-program" TargetMode="External"/>
<Relationship Id="rId14" Type="http://schemas.openxmlformats.org/officeDocument/2006/relationships/hyperlink" Target="https://www.vic.gov.au/family-violence-information-sharing-scheme" TargetMode="External"/>
<Relationship Id="rId15" Type="http://schemas.openxmlformats.org/officeDocument/2006/relationships/hyperlink" Target="https://www.vic.gov.au/interventions-people-who-use-violence" TargetMode="External"/>
<Relationship Id="rId16" Type="http://schemas.openxmlformats.org/officeDocument/2006/relationships/hyperlink" Target="https://caringdads.org" TargetMode="External"/>
<Relationship Id="rId17" Type="http://schemas.openxmlformats.org/officeDocument/2006/relationships/hyperlink" Target="https://providers.dffh.vic.gov.au/mens-behaviour-change-program" TargetMode="External"/>
<Relationship Id="rId18" Type="http://schemas.openxmlformats.org/officeDocument/2006/relationships/hyperlink" Target="http://providers.dffh.vic.gov.au/families-fairness-housing-health-activity-search" TargetMode="External"/>
<Relationship Id="rId19"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Perpetrators Responses Family Violence</w:t>
            </w:r>
          </w:p>
          <w:p>
            <w:pPr>
              <w:spacing w:line="560" w:lineRule="atLeast"/>
              <w:rPr>
                <w:rFonts w:ascii="Arial" w:hAnsi="Arial" w:eastAsia="Arial" w:cs="Arial"/>
                <w:color w:val="201547"/>
                <w:sz w:val="44"/>
              </w:rPr>
            </w:pPr>
            <w:r>
              <w:rPr>
                <w:rFonts w:ascii="Arial" w:hAnsi="Arial" w:eastAsia="Arial" w:cs="Arial"/>
                <w:color w:val="201547"/>
                <w:sz w:val="44"/>
              </w:rPr>
              <w:t>38029</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Prevention of Family Violence</w:t>
            </w:r>
          </w:p>
          <w:p>
            <w:pPr>
              <w:spacing w:after="120"/>
              <w:rPr>
                <w:rFonts w:ascii="Arial" w:hAnsi="Arial" w:eastAsia="Arial" w:cs="Arial"/>
                <w:color w:val="201547"/>
                <w:sz w:val="28"/>
              </w:rPr>
            </w:pPr>
            <w:r>
              <w:rPr>
                <w:rFonts w:ascii="Arial" w:hAnsi="Arial" w:eastAsia="Arial" w:cs="Arial"/>
                <w:color w:val="201547"/>
                <w:sz w:val="28"/>
              </w:rPr>
              <w:t>Output: Family Violence Service Delivery</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Perpetrator responses aim to reduce violence and enhance the safety of victim survivors experiencing or recovering from family violence through the provision of timely and appropriate services directed at perpetrators attempting to address their violent behaviour.</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Perpetrator responses hold perpetrators to account and keep them in view of services. Perpetrator responses include individual and group services aligned to the following:</w:t>
      </w:r>
      <w:r>
        <w:br/>
      </w:r>
      <w:r>
        <w:br/>
      </w:r>
      <w:r>
        <w:rPr>
          <w:rFonts w:ascii="Arial" w:hAnsi="Arial" w:eastAsia="Arial" w:cs="Arial"/>
          <w:color w:val="000000"/>
          <w:sz w:val="20"/>
        </w:rPr>
        <w:t>•     Men’s Behaviour Change Programs (MBCPs)</w:t>
      </w:r>
      <w:r>
        <w:br/>
      </w:r>
      <w:r>
        <w:rPr>
          <w:rFonts w:ascii="Arial" w:hAnsi="Arial" w:eastAsia="Arial" w:cs="Arial"/>
          <w:color w:val="000000"/>
          <w:sz w:val="20"/>
        </w:rPr>
        <w:t xml:space="preserve">•     Case management </w:t>
      </w:r>
      <w:r>
        <w:br/>
      </w:r>
      <w:r>
        <w:rPr>
          <w:rFonts w:ascii="Arial" w:hAnsi="Arial" w:eastAsia="Arial" w:cs="Arial"/>
          <w:color w:val="000000"/>
          <w:sz w:val="20"/>
        </w:rPr>
        <w:t xml:space="preserve">•     Caring Dads </w:t>
      </w:r>
      <w:r>
        <w:br/>
      </w:r>
      <w:r>
        <w:rPr>
          <w:rFonts w:ascii="Arial" w:hAnsi="Arial" w:eastAsia="Arial" w:cs="Arial"/>
          <w:color w:val="000000"/>
          <w:sz w:val="20"/>
        </w:rPr>
        <w:t xml:space="preserve">•     Diverse cohort programs </w:t>
      </w:r>
      <w:r>
        <w:br/>
      </w:r>
      <w:r>
        <w:rPr>
          <w:rFonts w:ascii="Arial" w:hAnsi="Arial" w:eastAsia="Arial" w:cs="Arial"/>
          <w:color w:val="000000"/>
          <w:sz w:val="20"/>
        </w:rPr>
        <w:t>•     Place for Change</w:t>
      </w:r>
      <w:r>
        <w:br/>
      </w:r>
      <w:r>
        <w:rPr>
          <w:rFonts w:ascii="Arial" w:hAnsi="Arial" w:eastAsia="Arial" w:cs="Arial"/>
          <w:color w:val="000000"/>
          <w:sz w:val="20"/>
        </w:rPr>
        <w:t xml:space="preserve">•     Post-participation service </w:t>
      </w:r>
      <w:r>
        <w:br/>
      </w:r>
      <w:r>
        <w:rPr>
          <w:rFonts w:ascii="Arial" w:hAnsi="Arial" w:eastAsia="Arial" w:cs="Arial"/>
          <w:color w:val="000000"/>
          <w:sz w:val="20"/>
        </w:rPr>
        <w:t>•     Serious-risk program</w:t>
      </w:r>
      <w:r>
        <w:br/>
      </w:r>
      <w:r>
        <w:br/>
      </w:r>
      <w:r>
        <w:rPr>
          <w:rFonts w:ascii="Arial" w:hAnsi="Arial" w:eastAsia="Arial" w:cs="Arial"/>
          <w:color w:val="000000"/>
          <w:sz w:val="20"/>
        </w:rPr>
        <w:t>Voluntary MBCPs aim to promote the safety of victim survivors by holding perpetrators accountable for their use of violence towards family members and by changing their attitudes and behaviour. Group programs are provided as well as individual counselling and family safety contact.</w:t>
      </w:r>
      <w:r>
        <w:br/>
      </w:r>
      <w:r>
        <w:br/>
      </w:r>
      <w:r>
        <w:rPr>
          <w:rFonts w:ascii="Arial" w:hAnsi="Arial" w:eastAsia="Arial" w:cs="Arial"/>
          <w:color w:val="000000"/>
          <w:sz w:val="20"/>
        </w:rPr>
        <w:t>Case management for perpetrators provides a timely and flexible response in the period after an incident of family violence. Case management for perpetrators aims to keep perpetrators in view of services and relevant authorities, contribute to a ‘safe at home approach’, assist in engagement with programs aimed to stop family violence (including MBCPs) and provide a more tailored response through the coordination of specialist services including mental health, alcohol and other drug, and housing services.</w:t>
      </w:r>
      <w:r>
        <w:br/>
      </w:r>
      <w:r>
        <w:br/>
      </w:r>
      <w:r>
        <w:rPr>
          <w:rFonts w:ascii="Arial" w:hAnsi="Arial" w:eastAsia="Arial" w:cs="Arial"/>
          <w:color w:val="000000"/>
          <w:sz w:val="20"/>
        </w:rPr>
        <w:t xml:space="preserve">Caring Dads is a trademarked program for men who use family violence to help them develop child-centred fathering skills and to take responsibility for the effect of their violence on their children and their children’s mother. The program is delivered by accredited Caring Dads facilitators through a licencing agreement with Changing Ways (London) Inc. </w:t>
      </w:r>
      <w:r>
        <w:br/>
      </w:r>
      <w:r>
        <w:br/>
      </w:r>
      <w:r>
        <w:rPr>
          <w:rFonts w:ascii="Arial" w:hAnsi="Arial" w:eastAsia="Arial" w:cs="Arial"/>
          <w:color w:val="000000"/>
          <w:sz w:val="20"/>
        </w:rPr>
        <w:t xml:space="preserve">A broader range of perpetrator responses have been established to deliver specialised responses for culturally and linguistically diverse people, Aboriginal and Torres Strait Islander people, LGBTQI+ people, women using force and people with a disability. </w:t>
      </w:r>
      <w:r>
        <w:br/>
      </w:r>
      <w:r>
        <w:br/>
      </w:r>
      <w:r>
        <w:rPr>
          <w:rFonts w:ascii="Arial" w:hAnsi="Arial" w:eastAsia="Arial" w:cs="Arial"/>
          <w:color w:val="000000"/>
          <w:sz w:val="20"/>
        </w:rPr>
        <w:t xml:space="preserve">In addition, newer perpetrator responses include Place for Change, Post-participation service and the Serious-risk program targeting serious-risk adults using family violence and the victim survivors impacted by their violence. </w:t>
      </w:r>
      <w:r>
        <w:br/>
      </w:r>
      <w:r>
        <w:rPr>
          <w:rFonts w:ascii="Arial" w:hAnsi="Arial" w:eastAsia="Arial" w:cs="Arial"/>
          <w:color w:val="000000"/>
          <w:sz w:val="20"/>
        </w:rPr>
        <w:t>Perpetrator responses are a component of an integrated, area-based suite of family violence services and will develop strong linkages and partnerships with a range of organisations, including specialist family violence services, Aboriginal family violence services, LGBTQI+ services, Police and courts.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 for this activity is adults (18+) using family violence within the community.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Family violence services and accommodation: Complying with the Equal Opportunity Act 2010</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&lt;https://www.humanrights.vic.gov.au/resources/family-violence-services-and-accommodation-guideline/&gt;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Family violence risk assessment and risk management</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&lt;https://providers.dffh.vic.gov.au/family-violence-risk-assessment-and-risk-management-framework&gt;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Men’s behaviour change minimum standards and quality practice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&lt;https://providers.dffh.vic.gov.au/mens-behaviour-change-program&gt;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Family Violence Information Sharing Scheme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&lt;https://www.vic.gov.au/family-violence-information-sharing-scheme&gt;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Perpetrator Case Management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&lt;https://www.vic.gov.au/interventions-people-who-use-violence&gt;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Caring Dads (TM)</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&lt;https://caringdads.org&gt;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Mens Behaviour Change - Post-Participation - Service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&lt;https://providers.dffh.vic.gov.au/mens-behaviour-change-program&gt;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cases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cases of support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cases that are opened during the reporting period and identify them as direct case management, Men’s Behaviour Change Programs or trial program.  </w:t>
            </w:r>
            <w:r>
              <w:br/>
            </w:r>
            <w:r>
              <w:br/>
            </w:r>
            <w:r>
              <w:rPr>
                <w:rFonts w:ascii="Arial" w:hAnsi="Arial" w:eastAsia="Arial" w:cs="Arial"/>
                <w:color w:val="000000"/>
                <w:sz w:val="20"/>
              </w:rPr>
              <w:t xml:space="preserve">The counting rule seeks to capture new instances where a response is provided to a person. </w:t>
            </w:r>
            <w:r>
              <w:br/>
            </w:r>
            <w:r>
              <w:br/>
            </w:r>
            <w:r>
              <w:rPr>
                <w:rFonts w:ascii="Arial" w:hAnsi="Arial" w:eastAsia="Arial" w:cs="Arial"/>
                <w:color w:val="000000"/>
                <w:sz w:val="20"/>
              </w:rPr>
              <w:t>A new case is counted when a client receives services from a service provider for the first time within the past three months.</w:t>
            </w:r>
            <w:r>
              <w:br/>
            </w:r>
            <w:r>
              <w:br/>
            </w:r>
            <w:r>
              <w:rPr>
                <w:rFonts w:ascii="Arial" w:hAnsi="Arial" w:eastAsia="Arial" w:cs="Arial"/>
                <w:color w:val="000000"/>
                <w:sz w:val="20"/>
              </w:rPr>
              <w:t>When to count a new case:</w:t>
            </w:r>
            <w:r>
              <w:br/>
            </w:r>
            <w:r>
              <w:rPr>
                <w:rFonts w:ascii="Arial" w:hAnsi="Arial" w:eastAsia="Arial" w:cs="Arial"/>
                <w:color w:val="000000"/>
                <w:sz w:val="20"/>
              </w:rPr>
              <w:t>• when a client receives services from this service provider for the first time</w:t>
            </w:r>
            <w:r>
              <w:br/>
            </w:r>
            <w:r>
              <w:rPr>
                <w:rFonts w:ascii="Arial" w:hAnsi="Arial" w:eastAsia="Arial" w:cs="Arial"/>
                <w:color w:val="000000"/>
                <w:sz w:val="20"/>
              </w:rPr>
              <w:t xml:space="preserve">• when a client presents for services after a previous case has been closed </w:t>
            </w:r>
            <w:r>
              <w:br/>
            </w:r>
            <w:r>
              <w:rPr>
                <w:rFonts w:ascii="Arial" w:hAnsi="Arial" w:eastAsia="Arial" w:cs="Arial"/>
                <w:color w:val="000000"/>
                <w:sz w:val="20"/>
              </w:rPr>
              <w:t xml:space="preserve">• when a client presents for services relating to the same incident, but has </w:t>
            </w:r>
            <w:r>
              <w:br/>
            </w:r>
            <w:r>
              <w:rPr>
                <w:rFonts w:ascii="Arial" w:hAnsi="Arial" w:eastAsia="Arial" w:cs="Arial"/>
                <w:color w:val="000000"/>
                <w:sz w:val="20"/>
              </w:rPr>
              <w:t xml:space="preserve">   not received services from this service provider for three months or more. </w:t>
            </w:r>
            <w:r>
              <w:br/>
            </w:r>
            <w:r>
              <w:br/>
            </w:r>
            <w:r>
              <w:rPr>
                <w:rFonts w:ascii="Arial" w:hAnsi="Arial" w:eastAsia="Arial" w:cs="Arial"/>
                <w:color w:val="000000"/>
                <w:sz w:val="20"/>
              </w:rPr>
              <w:t>When not to count a new case:</w:t>
            </w:r>
            <w:r>
              <w:br/>
            </w:r>
            <w:r>
              <w:rPr>
                <w:rFonts w:ascii="Arial" w:hAnsi="Arial" w:eastAsia="Arial" w:cs="Arial"/>
                <w:color w:val="000000"/>
                <w:sz w:val="20"/>
              </w:rPr>
              <w:t xml:space="preserve">• when the client has received the same service from the service provider </w:t>
            </w:r>
            <w:r>
              <w:br/>
            </w:r>
            <w:r>
              <w:rPr>
                <w:rFonts w:ascii="Arial" w:hAnsi="Arial" w:eastAsia="Arial" w:cs="Arial"/>
                <w:color w:val="000000"/>
                <w:sz w:val="20"/>
              </w:rPr>
              <w:t xml:space="preserve">  relating to the same incident within the last three months</w:t>
            </w:r>
            <w:r>
              <w:br/>
            </w:r>
            <w:r>
              <w:rPr>
                <w:rFonts w:ascii="Arial" w:hAnsi="Arial" w:eastAsia="Arial" w:cs="Arial"/>
                <w:color w:val="000000"/>
                <w:sz w:val="20"/>
              </w:rPr>
              <w:t xml:space="preserve">• when an existing case carries over into a new financial or calendar year </w:t>
            </w:r>
            <w:r>
              <w:br/>
            </w:r>
            <w:r>
              <w:rPr>
                <w:rFonts w:ascii="Arial" w:hAnsi="Arial" w:eastAsia="Arial" w:cs="Arial"/>
                <w:color w:val="000000"/>
                <w:sz w:val="20"/>
              </w:rPr>
              <w:t>• when an existing case carries over into a new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‘Clients’ refers to perpetrators of family violence who receive a service from a perpetrator family violence service. </w:t>
            </w:r>
            <w:r>
              <w:br/>
            </w:r>
            <w:r>
              <w:br/>
            </w:r>
            <w:r>
              <w:rPr>
                <w:rFonts w:ascii="Arial" w:hAnsi="Arial" w:eastAsia="Arial" w:cs="Arial"/>
                <w:color w:val="000000"/>
                <w:sz w:val="20"/>
              </w:rPr>
              <w:t>The receipt of a service during the reporting period is defined as having provided at least one hour service to the client during the reporting period.</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new cases - MBCP</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Men’s Behaviour Change Program (MBCP) cases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MBCP cases that are opened during the reporting period. </w:t>
            </w:r>
            <w:r>
              <w:br/>
            </w:r>
            <w:r>
              <w:rPr>
                <w:rFonts w:ascii="Arial" w:hAnsi="Arial" w:eastAsia="Arial" w:cs="Arial"/>
                <w:color w:val="000000"/>
                <w:sz w:val="20"/>
              </w:rPr>
              <w:t>A new case is counted when a client receives a MBCP service from a service provider for the first time within the past three months.</w:t>
            </w:r>
            <w:r>
              <w:br/>
            </w:r>
            <w:r>
              <w:br/>
            </w:r>
            <w:r>
              <w:rPr>
                <w:rFonts w:ascii="Arial" w:hAnsi="Arial" w:eastAsia="Arial" w:cs="Arial"/>
                <w:color w:val="000000"/>
                <w:sz w:val="20"/>
              </w:rPr>
              <w:t>When to count a new case:</w:t>
            </w:r>
            <w:r>
              <w:br/>
            </w:r>
            <w:r>
              <w:rPr>
                <w:rFonts w:ascii="Arial" w:hAnsi="Arial" w:eastAsia="Arial" w:cs="Arial"/>
                <w:color w:val="000000"/>
                <w:sz w:val="20"/>
              </w:rPr>
              <w:t>• when a client receives services from this service provider for the first time</w:t>
            </w:r>
            <w:r>
              <w:br/>
            </w:r>
            <w:r>
              <w:rPr>
                <w:rFonts w:ascii="Arial" w:hAnsi="Arial" w:eastAsia="Arial" w:cs="Arial"/>
                <w:color w:val="000000"/>
                <w:sz w:val="20"/>
              </w:rPr>
              <w:t xml:space="preserve">• when a client presents for services after a previous case has been closed </w:t>
            </w:r>
            <w:r>
              <w:br/>
            </w:r>
            <w:r>
              <w:rPr>
                <w:rFonts w:ascii="Arial" w:hAnsi="Arial" w:eastAsia="Arial" w:cs="Arial"/>
                <w:color w:val="000000"/>
                <w:sz w:val="20"/>
              </w:rPr>
              <w:t xml:space="preserve">• when a client presents for services relating to the same incident, but has </w:t>
            </w:r>
            <w:r>
              <w:br/>
            </w:r>
            <w:r>
              <w:rPr>
                <w:rFonts w:ascii="Arial" w:hAnsi="Arial" w:eastAsia="Arial" w:cs="Arial"/>
                <w:color w:val="000000"/>
                <w:sz w:val="20"/>
              </w:rPr>
              <w:t xml:space="preserve">   not received services from this service provider for three months or more. </w:t>
            </w:r>
            <w:r>
              <w:br/>
            </w:r>
            <w:r>
              <w:br/>
            </w:r>
            <w:r>
              <w:rPr>
                <w:rFonts w:ascii="Arial" w:hAnsi="Arial" w:eastAsia="Arial" w:cs="Arial"/>
                <w:color w:val="000000"/>
                <w:sz w:val="20"/>
              </w:rPr>
              <w:t>When not to count a new case:</w:t>
            </w:r>
            <w:r>
              <w:br/>
            </w:r>
            <w:r>
              <w:rPr>
                <w:rFonts w:ascii="Arial" w:hAnsi="Arial" w:eastAsia="Arial" w:cs="Arial"/>
                <w:color w:val="000000"/>
                <w:sz w:val="20"/>
              </w:rPr>
              <w:t xml:space="preserve">• when the client has received the same service from the service provider </w:t>
            </w:r>
            <w:r>
              <w:br/>
            </w:r>
            <w:r>
              <w:rPr>
                <w:rFonts w:ascii="Arial" w:hAnsi="Arial" w:eastAsia="Arial" w:cs="Arial"/>
                <w:color w:val="000000"/>
                <w:sz w:val="20"/>
              </w:rPr>
              <w:t xml:space="preserve">  relating to the same incident within the last three months</w:t>
            </w:r>
            <w:r>
              <w:br/>
            </w:r>
            <w:r>
              <w:rPr>
                <w:rFonts w:ascii="Arial" w:hAnsi="Arial" w:eastAsia="Arial" w:cs="Arial"/>
                <w:color w:val="000000"/>
                <w:sz w:val="20"/>
              </w:rPr>
              <w:t xml:space="preserve">• when an existing case carries over into a new financial or calendar year </w:t>
            </w:r>
            <w:r>
              <w:br/>
            </w:r>
            <w:r>
              <w:rPr>
                <w:rFonts w:ascii="Arial" w:hAnsi="Arial" w:eastAsia="Arial" w:cs="Arial"/>
                <w:color w:val="000000"/>
                <w:sz w:val="20"/>
              </w:rPr>
              <w:t>• when an existing case carries over into a new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‘Clients’ refers to adults using family violence who receive a MBCP service from a perpetrator family violence service, Aboriginal service or Aboriginal Community Controlled Organisation.</w:t>
            </w:r>
            <w:r>
              <w:br/>
            </w:r>
            <w:r>
              <w:rPr>
                <w:rFonts w:ascii="Arial" w:hAnsi="Arial" w:eastAsia="Arial" w:cs="Arial"/>
                <w:color w:val="000000"/>
                <w:sz w:val="20"/>
              </w:rPr>
              <w:t>The receipt of a service during the reporting period is defined as having provided at least one hour of program specific service to the client during the reporting period.</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3: Number of new cases - Place for Change</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Place for Change cases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new Place for Change cases that are opened during the reporting period. A new case is counted when a client receives a Place for Change service from a service provider for the first time within the past three months.</w:t>
            </w:r>
            <w:r>
              <w:br/>
            </w:r>
            <w:r>
              <w:br/>
            </w:r>
            <w:r>
              <w:rPr>
                <w:rFonts w:ascii="Arial" w:hAnsi="Arial" w:eastAsia="Arial" w:cs="Arial"/>
                <w:color w:val="000000"/>
                <w:sz w:val="20"/>
              </w:rPr>
              <w:t>When to count a new case:</w:t>
            </w:r>
            <w:r>
              <w:br/>
            </w:r>
            <w:r>
              <w:rPr>
                <w:rFonts w:ascii="Arial" w:hAnsi="Arial" w:eastAsia="Arial" w:cs="Arial"/>
                <w:color w:val="000000"/>
                <w:sz w:val="20"/>
              </w:rPr>
              <w:t>• when a client receives services from this service provider for the first time</w:t>
            </w:r>
            <w:r>
              <w:br/>
            </w:r>
            <w:r>
              <w:rPr>
                <w:rFonts w:ascii="Arial" w:hAnsi="Arial" w:eastAsia="Arial" w:cs="Arial"/>
                <w:color w:val="000000"/>
                <w:sz w:val="20"/>
              </w:rPr>
              <w:t xml:space="preserve">• when a client presents for services after a previous case has been closed </w:t>
            </w:r>
            <w:r>
              <w:br/>
            </w:r>
            <w:r>
              <w:rPr>
                <w:rFonts w:ascii="Arial" w:hAnsi="Arial" w:eastAsia="Arial" w:cs="Arial"/>
                <w:color w:val="000000"/>
                <w:sz w:val="20"/>
              </w:rPr>
              <w:t xml:space="preserve">• when a client presents for services relating to the same incident, but has </w:t>
            </w:r>
            <w:r>
              <w:br/>
            </w:r>
            <w:r>
              <w:rPr>
                <w:rFonts w:ascii="Arial" w:hAnsi="Arial" w:eastAsia="Arial" w:cs="Arial"/>
                <w:color w:val="000000"/>
                <w:sz w:val="20"/>
              </w:rPr>
              <w:t xml:space="preserve">   not received services from this service provider for three months or more. </w:t>
            </w:r>
            <w:r>
              <w:br/>
            </w:r>
            <w:r>
              <w:br/>
            </w:r>
            <w:r>
              <w:rPr>
                <w:rFonts w:ascii="Arial" w:hAnsi="Arial" w:eastAsia="Arial" w:cs="Arial"/>
                <w:color w:val="000000"/>
                <w:sz w:val="20"/>
              </w:rPr>
              <w:t>When not to count a new case:</w:t>
            </w:r>
            <w:r>
              <w:br/>
            </w:r>
            <w:r>
              <w:rPr>
                <w:rFonts w:ascii="Arial" w:hAnsi="Arial" w:eastAsia="Arial" w:cs="Arial"/>
                <w:color w:val="000000"/>
                <w:sz w:val="20"/>
              </w:rPr>
              <w:t xml:space="preserve">• when the client has received the same service from the service provider </w:t>
            </w:r>
            <w:r>
              <w:br/>
            </w:r>
            <w:r>
              <w:rPr>
                <w:rFonts w:ascii="Arial" w:hAnsi="Arial" w:eastAsia="Arial" w:cs="Arial"/>
                <w:color w:val="000000"/>
                <w:sz w:val="20"/>
              </w:rPr>
              <w:t xml:space="preserve">  relating to the same incident within the last three months</w:t>
            </w:r>
            <w:r>
              <w:br/>
            </w:r>
            <w:r>
              <w:rPr>
                <w:rFonts w:ascii="Arial" w:hAnsi="Arial" w:eastAsia="Arial" w:cs="Arial"/>
                <w:color w:val="000000"/>
                <w:sz w:val="20"/>
              </w:rPr>
              <w:t xml:space="preserve">• when an existing case carries over into a new financial or calendar year </w:t>
            </w:r>
            <w:r>
              <w:br/>
            </w:r>
            <w:r>
              <w:rPr>
                <w:rFonts w:ascii="Arial" w:hAnsi="Arial" w:eastAsia="Arial" w:cs="Arial"/>
                <w:color w:val="000000"/>
                <w:sz w:val="20"/>
              </w:rPr>
              <w:t>• when an existing case carries over into a new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‘Clients’ refers to adults using family violence who receive a Place for Change service from a perpetrator family violence service, Aboriginal service or Aboriginal Community Controlled Organisation.</w:t>
            </w:r>
            <w:r>
              <w:br/>
            </w:r>
            <w:r>
              <w:rPr>
                <w:rFonts w:ascii="Arial" w:hAnsi="Arial" w:eastAsia="Arial" w:cs="Arial"/>
                <w:color w:val="000000"/>
                <w:sz w:val="20"/>
              </w:rPr>
              <w:t>The receipt of a service during the reporting period is defined as having provided at least one hour of program specific service and accommodation support to the client during the reporting period.</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4: Number of new cases - Case management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case management cases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new case management cases that are opened during the reporting period. A new case is counted when a client receives case management services from a service provider for the first time within the past three months.</w:t>
            </w:r>
            <w:r>
              <w:br/>
            </w:r>
            <w:r>
              <w:br/>
            </w:r>
            <w:r>
              <w:rPr>
                <w:rFonts w:ascii="Arial" w:hAnsi="Arial" w:eastAsia="Arial" w:cs="Arial"/>
                <w:color w:val="000000"/>
                <w:sz w:val="20"/>
              </w:rPr>
              <w:t>When to count a new case:</w:t>
            </w:r>
            <w:r>
              <w:br/>
            </w:r>
            <w:r>
              <w:rPr>
                <w:rFonts w:ascii="Arial" w:hAnsi="Arial" w:eastAsia="Arial" w:cs="Arial"/>
                <w:color w:val="000000"/>
                <w:sz w:val="20"/>
              </w:rPr>
              <w:t>• when a client receives services from this service provider for the first time</w:t>
            </w:r>
            <w:r>
              <w:br/>
            </w:r>
            <w:r>
              <w:rPr>
                <w:rFonts w:ascii="Arial" w:hAnsi="Arial" w:eastAsia="Arial" w:cs="Arial"/>
                <w:color w:val="000000"/>
                <w:sz w:val="20"/>
              </w:rPr>
              <w:t xml:space="preserve">• when a client presents for services after a previous case has been closed </w:t>
            </w:r>
            <w:r>
              <w:br/>
            </w:r>
            <w:r>
              <w:rPr>
                <w:rFonts w:ascii="Arial" w:hAnsi="Arial" w:eastAsia="Arial" w:cs="Arial"/>
                <w:color w:val="000000"/>
                <w:sz w:val="20"/>
              </w:rPr>
              <w:t xml:space="preserve">• when a client presents for services relating to the same incident, but has </w:t>
            </w:r>
            <w:r>
              <w:br/>
            </w:r>
            <w:r>
              <w:rPr>
                <w:rFonts w:ascii="Arial" w:hAnsi="Arial" w:eastAsia="Arial" w:cs="Arial"/>
                <w:color w:val="000000"/>
                <w:sz w:val="20"/>
              </w:rPr>
              <w:t xml:space="preserve">   not received services from this service provider for three months or more. </w:t>
            </w:r>
            <w:r>
              <w:br/>
            </w:r>
            <w:r>
              <w:br/>
            </w:r>
            <w:r>
              <w:rPr>
                <w:rFonts w:ascii="Arial" w:hAnsi="Arial" w:eastAsia="Arial" w:cs="Arial"/>
                <w:color w:val="000000"/>
                <w:sz w:val="20"/>
              </w:rPr>
              <w:t>When not to count a new case:</w:t>
            </w:r>
            <w:r>
              <w:br/>
            </w:r>
            <w:r>
              <w:rPr>
                <w:rFonts w:ascii="Arial" w:hAnsi="Arial" w:eastAsia="Arial" w:cs="Arial"/>
                <w:color w:val="000000"/>
                <w:sz w:val="20"/>
              </w:rPr>
              <w:t xml:space="preserve">• when the client has received the same service from the service provider </w:t>
            </w:r>
            <w:r>
              <w:br/>
            </w:r>
            <w:r>
              <w:rPr>
                <w:rFonts w:ascii="Arial" w:hAnsi="Arial" w:eastAsia="Arial" w:cs="Arial"/>
                <w:color w:val="000000"/>
                <w:sz w:val="20"/>
              </w:rPr>
              <w:t xml:space="preserve">  relating to the same incident within the last three months</w:t>
            </w:r>
            <w:r>
              <w:br/>
            </w:r>
            <w:r>
              <w:rPr>
                <w:rFonts w:ascii="Arial" w:hAnsi="Arial" w:eastAsia="Arial" w:cs="Arial"/>
                <w:color w:val="000000"/>
                <w:sz w:val="20"/>
              </w:rPr>
              <w:t xml:space="preserve">• when an existing case carries over into a new financial or calendar year </w:t>
            </w:r>
            <w:r>
              <w:br/>
            </w:r>
            <w:r>
              <w:rPr>
                <w:rFonts w:ascii="Arial" w:hAnsi="Arial" w:eastAsia="Arial" w:cs="Arial"/>
                <w:color w:val="000000"/>
                <w:sz w:val="20"/>
              </w:rPr>
              <w:t>• when an existing case carries over into a new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‘Clients’ refers to adults using family violence who receive a case management service from a perpetrator family violence service, Aboriginal service or Aboriginal Community Controlled Organisation.</w:t>
            </w:r>
            <w:r>
              <w:br/>
            </w:r>
            <w:r>
              <w:rPr>
                <w:rFonts w:ascii="Arial" w:hAnsi="Arial" w:eastAsia="Arial" w:cs="Arial"/>
                <w:color w:val="000000"/>
                <w:sz w:val="20"/>
              </w:rPr>
              <w:t>The receipt of a service during the reporting period is defined as having provided at least one hour of program specific service to the client during the reporting period.</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5: Number of new cases - Caring Dads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Caring Dads cases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new Caring Dads cases that are opened during the reporting period. A new case is counted when a client receives a Caring Dads service from a service provider for the first time within the past three months.</w:t>
            </w:r>
            <w:r>
              <w:br/>
            </w:r>
            <w:r>
              <w:br/>
            </w:r>
            <w:r>
              <w:rPr>
                <w:rFonts w:ascii="Arial" w:hAnsi="Arial" w:eastAsia="Arial" w:cs="Arial"/>
                <w:color w:val="000000"/>
                <w:sz w:val="20"/>
              </w:rPr>
              <w:t>When to count a new case:</w:t>
            </w:r>
            <w:r>
              <w:br/>
            </w:r>
            <w:r>
              <w:rPr>
                <w:rFonts w:ascii="Arial" w:hAnsi="Arial" w:eastAsia="Arial" w:cs="Arial"/>
                <w:color w:val="000000"/>
                <w:sz w:val="20"/>
              </w:rPr>
              <w:t>• when a client receives services from this service provider for the first time</w:t>
            </w:r>
            <w:r>
              <w:br/>
            </w:r>
            <w:r>
              <w:rPr>
                <w:rFonts w:ascii="Arial" w:hAnsi="Arial" w:eastAsia="Arial" w:cs="Arial"/>
                <w:color w:val="000000"/>
                <w:sz w:val="20"/>
              </w:rPr>
              <w:t xml:space="preserve">• when a client presents for services after a previous case has been closed </w:t>
            </w:r>
            <w:r>
              <w:br/>
            </w:r>
            <w:r>
              <w:rPr>
                <w:rFonts w:ascii="Arial" w:hAnsi="Arial" w:eastAsia="Arial" w:cs="Arial"/>
                <w:color w:val="000000"/>
                <w:sz w:val="20"/>
              </w:rPr>
              <w:t xml:space="preserve">• when a client presents for services relating to the same incident, but has </w:t>
            </w:r>
            <w:r>
              <w:br/>
            </w:r>
            <w:r>
              <w:rPr>
                <w:rFonts w:ascii="Arial" w:hAnsi="Arial" w:eastAsia="Arial" w:cs="Arial"/>
                <w:color w:val="000000"/>
                <w:sz w:val="20"/>
              </w:rPr>
              <w:t xml:space="preserve">   not received services from this service provider for three months or more. </w:t>
            </w:r>
            <w:r>
              <w:br/>
            </w:r>
            <w:r>
              <w:br/>
            </w:r>
            <w:r>
              <w:rPr>
                <w:rFonts w:ascii="Arial" w:hAnsi="Arial" w:eastAsia="Arial" w:cs="Arial"/>
                <w:color w:val="000000"/>
                <w:sz w:val="20"/>
              </w:rPr>
              <w:t>When not to count a new case:</w:t>
            </w:r>
            <w:r>
              <w:br/>
            </w:r>
            <w:r>
              <w:rPr>
                <w:rFonts w:ascii="Arial" w:hAnsi="Arial" w:eastAsia="Arial" w:cs="Arial"/>
                <w:color w:val="000000"/>
                <w:sz w:val="20"/>
              </w:rPr>
              <w:t xml:space="preserve">• when the client has received the same service from the service provider </w:t>
            </w:r>
            <w:r>
              <w:br/>
            </w:r>
            <w:r>
              <w:rPr>
                <w:rFonts w:ascii="Arial" w:hAnsi="Arial" w:eastAsia="Arial" w:cs="Arial"/>
                <w:color w:val="000000"/>
                <w:sz w:val="20"/>
              </w:rPr>
              <w:t xml:space="preserve">  relating to the same incident within the last three months</w:t>
            </w:r>
            <w:r>
              <w:br/>
            </w:r>
            <w:r>
              <w:rPr>
                <w:rFonts w:ascii="Arial" w:hAnsi="Arial" w:eastAsia="Arial" w:cs="Arial"/>
                <w:color w:val="000000"/>
                <w:sz w:val="20"/>
              </w:rPr>
              <w:t xml:space="preserve">• when an existing case carries over into a new financial or calendar year </w:t>
            </w:r>
            <w:r>
              <w:br/>
            </w:r>
            <w:r>
              <w:rPr>
                <w:rFonts w:ascii="Arial" w:hAnsi="Arial" w:eastAsia="Arial" w:cs="Arial"/>
                <w:color w:val="000000"/>
                <w:sz w:val="20"/>
              </w:rPr>
              <w:t>• when an existing case carries over into a new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‘Clients’ refers to adults using family violence who receive a Caring Dads service from a family violence service.</w:t>
            </w:r>
            <w:r>
              <w:br/>
            </w:r>
            <w:r>
              <w:rPr>
                <w:rFonts w:ascii="Arial" w:hAnsi="Arial" w:eastAsia="Arial" w:cs="Arial"/>
                <w:color w:val="000000"/>
                <w:sz w:val="20"/>
              </w:rPr>
              <w:t>The receipt of a service during the reporting period is defined as having provided at least one hour of program specific service to the client during the reporting period.</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6: Number of new cases - Post-participation service</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post-participation service cases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new post-participation service cases that are opened during the reporting period. A new case is counted when a client receives a post-participation service from a service provider for the first time within the past three months.</w:t>
            </w:r>
            <w:r>
              <w:br/>
            </w:r>
            <w:r>
              <w:br/>
            </w:r>
            <w:r>
              <w:rPr>
                <w:rFonts w:ascii="Arial" w:hAnsi="Arial" w:eastAsia="Arial" w:cs="Arial"/>
                <w:color w:val="000000"/>
                <w:sz w:val="20"/>
              </w:rPr>
              <w:t>When to count a new case:</w:t>
            </w:r>
            <w:r>
              <w:br/>
            </w:r>
            <w:r>
              <w:rPr>
                <w:rFonts w:ascii="Arial" w:hAnsi="Arial" w:eastAsia="Arial" w:cs="Arial"/>
                <w:color w:val="000000"/>
                <w:sz w:val="20"/>
              </w:rPr>
              <w:t>• when a client receives services from this service provider for the first time</w:t>
            </w:r>
            <w:r>
              <w:br/>
            </w:r>
            <w:r>
              <w:rPr>
                <w:rFonts w:ascii="Arial" w:hAnsi="Arial" w:eastAsia="Arial" w:cs="Arial"/>
                <w:color w:val="000000"/>
                <w:sz w:val="20"/>
              </w:rPr>
              <w:t xml:space="preserve">• when a client presents for services after a previous case has been closed </w:t>
            </w:r>
            <w:r>
              <w:br/>
            </w:r>
            <w:r>
              <w:rPr>
                <w:rFonts w:ascii="Arial" w:hAnsi="Arial" w:eastAsia="Arial" w:cs="Arial"/>
                <w:color w:val="000000"/>
                <w:sz w:val="20"/>
              </w:rPr>
              <w:t xml:space="preserve">• when a client presents for services relating to the same incident, but has </w:t>
            </w:r>
            <w:r>
              <w:br/>
            </w:r>
            <w:r>
              <w:rPr>
                <w:rFonts w:ascii="Arial" w:hAnsi="Arial" w:eastAsia="Arial" w:cs="Arial"/>
                <w:color w:val="000000"/>
                <w:sz w:val="20"/>
              </w:rPr>
              <w:t xml:space="preserve">   not received services from this service provider for three months or more. </w:t>
            </w:r>
            <w:r>
              <w:br/>
            </w:r>
            <w:r>
              <w:br/>
            </w:r>
            <w:r>
              <w:rPr>
                <w:rFonts w:ascii="Arial" w:hAnsi="Arial" w:eastAsia="Arial" w:cs="Arial"/>
                <w:color w:val="000000"/>
                <w:sz w:val="20"/>
              </w:rPr>
              <w:t>When not to count a new case:</w:t>
            </w:r>
            <w:r>
              <w:br/>
            </w:r>
            <w:r>
              <w:rPr>
                <w:rFonts w:ascii="Arial" w:hAnsi="Arial" w:eastAsia="Arial" w:cs="Arial"/>
                <w:color w:val="000000"/>
                <w:sz w:val="20"/>
              </w:rPr>
              <w:t xml:space="preserve">• when the client has received the same service from the service provider </w:t>
            </w:r>
            <w:r>
              <w:br/>
            </w:r>
            <w:r>
              <w:rPr>
                <w:rFonts w:ascii="Arial" w:hAnsi="Arial" w:eastAsia="Arial" w:cs="Arial"/>
                <w:color w:val="000000"/>
                <w:sz w:val="20"/>
              </w:rPr>
              <w:t xml:space="preserve">  relating to the same incident within the last three months</w:t>
            </w:r>
            <w:r>
              <w:br/>
            </w:r>
            <w:r>
              <w:rPr>
                <w:rFonts w:ascii="Arial" w:hAnsi="Arial" w:eastAsia="Arial" w:cs="Arial"/>
                <w:color w:val="000000"/>
                <w:sz w:val="20"/>
              </w:rPr>
              <w:t xml:space="preserve">• when an existing case carries over into a new financial or calendar year </w:t>
            </w:r>
            <w:r>
              <w:br/>
            </w:r>
            <w:r>
              <w:rPr>
                <w:rFonts w:ascii="Arial" w:hAnsi="Arial" w:eastAsia="Arial" w:cs="Arial"/>
                <w:color w:val="000000"/>
                <w:sz w:val="20"/>
              </w:rPr>
              <w:t>• when an existing case carries over into a new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‘Clients’ refers to adults using family violence who receive a post-participation service from a perpetrator family violence service, Aboriginal service or Aboriginal Community Controlled Organisation.</w:t>
            </w:r>
            <w:r>
              <w:br/>
            </w:r>
            <w:r>
              <w:rPr>
                <w:rFonts w:ascii="Arial" w:hAnsi="Arial" w:eastAsia="Arial" w:cs="Arial"/>
                <w:color w:val="000000"/>
                <w:sz w:val="20"/>
              </w:rPr>
              <w:t>The receipt of a service during the reporting period is defined as having provided at least one hour of program specific service to the client during the reporting period.</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7: Number of service hours - Diverse cohorts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service (agency) hours provided to adults using family violence during the reporting period receiving a diverse cohort program response.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service hours (time) undertaken during the reporting period for a diverse cohort program response.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hours are defined as minutes and hours spent by the service provider’s staff providing responses to adults using family violence, including individual and group services which aim to reduce violence and enhance the safety of victim survivors and promote behaviour and attitudinal change. </w:t>
            </w:r>
            <w:r>
              <w:br/>
            </w:r>
            <w:r>
              <w:br/>
            </w:r>
            <w:r>
              <w:rPr>
                <w:rFonts w:ascii="Arial" w:hAnsi="Arial" w:eastAsia="Arial" w:cs="Arial"/>
                <w:color w:val="000000"/>
                <w:sz w:val="20"/>
              </w:rPr>
              <w:t xml:space="preserve">Service hours may be expended on a range of service functions including screening, triage, risk assessment and management and safety planning, case planning, review and case closure and delivery of group programs. Activities also include secondary consultation, referrals, coordinated responses with other services, co-case management, advocacy, information sharing and client related travel time. </w:t>
            </w:r>
            <w:r>
              <w:br/>
            </w:r>
            <w:r>
              <w:br/>
            </w:r>
            <w:r>
              <w:rPr>
                <w:rFonts w:ascii="Arial" w:hAnsi="Arial" w:eastAsia="Arial" w:cs="Arial"/>
                <w:color w:val="000000"/>
                <w:sz w:val="20"/>
              </w:rPr>
              <w:t xml:space="preserve">Service hours also include hours spent by the agency’s staff providing support to affected family members through family safety contact.  </w:t>
            </w:r>
            <w:r>
              <w:br/>
            </w:r>
            <w:r>
              <w:rPr>
                <w:rFonts w:ascii="Arial" w:hAnsi="Arial" w:eastAsia="Arial" w:cs="Arial"/>
                <w:color w:val="000000"/>
                <w:sz w:val="20"/>
              </w:rPr>
              <w:t>Service hours do not include non-client service hours such as attending general supervision, attending training or professional development, undertaking administrative functions and organisational planning.</w:t>
            </w:r>
            <w:r>
              <w:br/>
            </w:r>
            <w:r>
              <w:br/>
            </w:r>
            <w:r>
              <w:rPr>
                <w:rFonts w:ascii="Arial" w:hAnsi="Arial" w:eastAsia="Arial" w:cs="Arial"/>
                <w:color w:val="000000"/>
                <w:sz w:val="20"/>
              </w:rPr>
              <w:t>Example 1: Two service provider staff members provide a two hour group session to ten clients. This is counted as two service hours for each staff member, so 2 service provider staff members x 2 hours each = 4 service hours.</w:t>
            </w:r>
            <w:r>
              <w:br/>
            </w:r>
            <w:r>
              <w:br/>
            </w:r>
            <w:r>
              <w:rPr>
                <w:rFonts w:ascii="Arial" w:hAnsi="Arial" w:eastAsia="Arial" w:cs="Arial"/>
                <w:color w:val="000000"/>
                <w:sz w:val="20"/>
              </w:rPr>
              <w:t>Example 2: One service provider worker provides a two hour case work session to one client. In addition, this support includes 30 minutes of travel each way. This is counted as one service provider worker x two hours of case work + one hour of travel = three service hours.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8: Number of new cases - Diverse cohorts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diverse cohort program cases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new diverse cohort program cases that are opened during the reporting period. A new case is counted when a client receives diverse cohort program service from a service provider for the first time within the past three months.</w:t>
            </w:r>
            <w:r>
              <w:br/>
            </w:r>
            <w:r>
              <w:br/>
            </w:r>
            <w:r>
              <w:rPr>
                <w:rFonts w:ascii="Arial" w:hAnsi="Arial" w:eastAsia="Arial" w:cs="Arial"/>
                <w:color w:val="000000"/>
                <w:sz w:val="20"/>
              </w:rPr>
              <w:t>When to count a new case:</w:t>
            </w:r>
            <w:r>
              <w:br/>
            </w:r>
            <w:r>
              <w:rPr>
                <w:rFonts w:ascii="Arial" w:hAnsi="Arial" w:eastAsia="Arial" w:cs="Arial"/>
                <w:color w:val="000000"/>
                <w:sz w:val="20"/>
              </w:rPr>
              <w:t>• when a client receives services from this service provider for the first time</w:t>
            </w:r>
            <w:r>
              <w:br/>
            </w:r>
            <w:r>
              <w:rPr>
                <w:rFonts w:ascii="Arial" w:hAnsi="Arial" w:eastAsia="Arial" w:cs="Arial"/>
                <w:color w:val="000000"/>
                <w:sz w:val="20"/>
              </w:rPr>
              <w:t xml:space="preserve">• when a client presents for services after a previous case has been closed </w:t>
            </w:r>
            <w:r>
              <w:br/>
            </w:r>
            <w:r>
              <w:rPr>
                <w:rFonts w:ascii="Arial" w:hAnsi="Arial" w:eastAsia="Arial" w:cs="Arial"/>
                <w:color w:val="000000"/>
                <w:sz w:val="20"/>
              </w:rPr>
              <w:t xml:space="preserve">• when a client presents for services relating to the same incident, but has </w:t>
            </w:r>
            <w:r>
              <w:br/>
            </w:r>
            <w:r>
              <w:rPr>
                <w:rFonts w:ascii="Arial" w:hAnsi="Arial" w:eastAsia="Arial" w:cs="Arial"/>
                <w:color w:val="000000"/>
                <w:sz w:val="20"/>
              </w:rPr>
              <w:t xml:space="preserve">   not received services from this service provider for three months or more. </w:t>
            </w:r>
            <w:r>
              <w:br/>
            </w:r>
            <w:r>
              <w:br/>
            </w:r>
            <w:r>
              <w:rPr>
                <w:rFonts w:ascii="Arial" w:hAnsi="Arial" w:eastAsia="Arial" w:cs="Arial"/>
                <w:color w:val="000000"/>
                <w:sz w:val="20"/>
              </w:rPr>
              <w:t>When not to count a new case:</w:t>
            </w:r>
            <w:r>
              <w:br/>
            </w:r>
            <w:r>
              <w:rPr>
                <w:rFonts w:ascii="Arial" w:hAnsi="Arial" w:eastAsia="Arial" w:cs="Arial"/>
                <w:color w:val="000000"/>
                <w:sz w:val="20"/>
              </w:rPr>
              <w:t xml:space="preserve">• when the client has received the same service from the service provider </w:t>
            </w:r>
            <w:r>
              <w:br/>
            </w:r>
            <w:r>
              <w:rPr>
                <w:rFonts w:ascii="Arial" w:hAnsi="Arial" w:eastAsia="Arial" w:cs="Arial"/>
                <w:color w:val="000000"/>
                <w:sz w:val="20"/>
              </w:rPr>
              <w:t xml:space="preserve">  relating to the same incident within the last three months</w:t>
            </w:r>
            <w:r>
              <w:br/>
            </w:r>
            <w:r>
              <w:rPr>
                <w:rFonts w:ascii="Arial" w:hAnsi="Arial" w:eastAsia="Arial" w:cs="Arial"/>
                <w:color w:val="000000"/>
                <w:sz w:val="20"/>
              </w:rPr>
              <w:t xml:space="preserve">• when an existing case carries over into a new financial or calendar year </w:t>
            </w:r>
            <w:r>
              <w:br/>
            </w:r>
            <w:r>
              <w:rPr>
                <w:rFonts w:ascii="Arial" w:hAnsi="Arial" w:eastAsia="Arial" w:cs="Arial"/>
                <w:color w:val="000000"/>
                <w:sz w:val="20"/>
              </w:rPr>
              <w:t>• when an existing case carries over into a new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‘Clients’ refers to adults using family violence who receive a service from a perpetrator family violence service Aboriginal service or Aboriginal Community Controlled Organisation.</w:t>
            </w:r>
            <w:r>
              <w:br/>
            </w:r>
            <w:r>
              <w:rPr>
                <w:rFonts w:ascii="Arial" w:hAnsi="Arial" w:eastAsia="Arial" w:cs="Arial"/>
                <w:color w:val="000000"/>
                <w:sz w:val="20"/>
              </w:rPr>
              <w:t>The receipt of a service during the reporting period is defined as having provided at least one hour of program specific service to the client during the reporting period.</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9: Number of service hours - Serious-risk</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service (agency) hours provided to serious-risk perpetrators of family violence participating in the serious-risk program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individual service hours (time) undertaken during the reporting period that are provided for responses to serious-risk adults using family violence.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hours are defined as minutes and hours spent by the service provider’s staff providing responses to adults using family violence which aim to reduce violence and enhance the safety of victim survivors and promote behaviour and attitudinal change. </w:t>
            </w:r>
            <w:r>
              <w:br/>
            </w:r>
            <w:r>
              <w:br/>
            </w:r>
            <w:r>
              <w:rPr>
                <w:rFonts w:ascii="Arial" w:hAnsi="Arial" w:eastAsia="Arial" w:cs="Arial"/>
                <w:color w:val="000000"/>
                <w:sz w:val="20"/>
              </w:rPr>
              <w:t xml:space="preserve">Service hours may be expended on a range of service functions including screening, triage, risk assessment and management and safety planning, case planning, review and case closure. Activities include secondary consultation, referrals, coordinated responses with other services, co-case management, advocacy, information sharing, and client related travel time.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10: Number of new cases - Serious-risk</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new serious-risk program cases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new serious-risk program cases that are opened during the reporting period. A new case is counted when a client receives services from a service provider for the first time within the past three months.</w:t>
            </w:r>
            <w:r>
              <w:br/>
            </w:r>
            <w:r>
              <w:br/>
            </w:r>
            <w:r>
              <w:rPr>
                <w:rFonts w:ascii="Arial" w:hAnsi="Arial" w:eastAsia="Arial" w:cs="Arial"/>
                <w:color w:val="000000"/>
                <w:sz w:val="20"/>
              </w:rPr>
              <w:t>When to count a new case:</w:t>
            </w:r>
            <w:r>
              <w:br/>
            </w:r>
            <w:r>
              <w:rPr>
                <w:rFonts w:ascii="Arial" w:hAnsi="Arial" w:eastAsia="Arial" w:cs="Arial"/>
                <w:color w:val="000000"/>
                <w:sz w:val="20"/>
              </w:rPr>
              <w:t>• when a client receives services from this service provider for the first time</w:t>
            </w:r>
            <w:r>
              <w:br/>
            </w:r>
            <w:r>
              <w:rPr>
                <w:rFonts w:ascii="Arial" w:hAnsi="Arial" w:eastAsia="Arial" w:cs="Arial"/>
                <w:color w:val="000000"/>
                <w:sz w:val="20"/>
              </w:rPr>
              <w:t xml:space="preserve">• when a client presents for services after a previous case has been closed </w:t>
            </w:r>
            <w:r>
              <w:br/>
            </w:r>
            <w:r>
              <w:rPr>
                <w:rFonts w:ascii="Arial" w:hAnsi="Arial" w:eastAsia="Arial" w:cs="Arial"/>
                <w:color w:val="000000"/>
                <w:sz w:val="20"/>
              </w:rPr>
              <w:t xml:space="preserve">• when a client presents for services relating to the same incident, but has </w:t>
            </w:r>
            <w:r>
              <w:br/>
            </w:r>
            <w:r>
              <w:rPr>
                <w:rFonts w:ascii="Arial" w:hAnsi="Arial" w:eastAsia="Arial" w:cs="Arial"/>
                <w:color w:val="000000"/>
                <w:sz w:val="20"/>
              </w:rPr>
              <w:t xml:space="preserve">   not received services from this service provider for three months or more. </w:t>
            </w:r>
            <w:r>
              <w:br/>
            </w:r>
            <w:r>
              <w:br/>
            </w:r>
            <w:r>
              <w:rPr>
                <w:rFonts w:ascii="Arial" w:hAnsi="Arial" w:eastAsia="Arial" w:cs="Arial"/>
                <w:color w:val="000000"/>
                <w:sz w:val="20"/>
              </w:rPr>
              <w:t>When not to count a new case:</w:t>
            </w:r>
            <w:r>
              <w:br/>
            </w:r>
            <w:r>
              <w:rPr>
                <w:rFonts w:ascii="Arial" w:hAnsi="Arial" w:eastAsia="Arial" w:cs="Arial"/>
                <w:color w:val="000000"/>
                <w:sz w:val="20"/>
              </w:rPr>
              <w:t xml:space="preserve">• when the client has received the same service from the service provider </w:t>
            </w:r>
            <w:r>
              <w:br/>
            </w:r>
            <w:r>
              <w:rPr>
                <w:rFonts w:ascii="Arial" w:hAnsi="Arial" w:eastAsia="Arial" w:cs="Arial"/>
                <w:color w:val="000000"/>
                <w:sz w:val="20"/>
              </w:rPr>
              <w:t xml:space="preserve">  relating to the same incident within the last three months</w:t>
            </w:r>
            <w:r>
              <w:br/>
            </w:r>
            <w:r>
              <w:rPr>
                <w:rFonts w:ascii="Arial" w:hAnsi="Arial" w:eastAsia="Arial" w:cs="Arial"/>
                <w:color w:val="000000"/>
                <w:sz w:val="20"/>
              </w:rPr>
              <w:t xml:space="preserve">• when an existing case carries over into a new financial or calendar year </w:t>
            </w:r>
            <w:r>
              <w:br/>
            </w:r>
            <w:r>
              <w:rPr>
                <w:rFonts w:ascii="Arial" w:hAnsi="Arial" w:eastAsia="Arial" w:cs="Arial"/>
                <w:color w:val="000000"/>
                <w:sz w:val="20"/>
              </w:rPr>
              <w:t>• when an existing case carries over into a new month.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‘Clients’ refers to adults using family violence who receive a serious-risk program service from a perpetrator family violence service, Aboriginal service or Aboriginal Community Controlled Organisation.</w:t>
            </w:r>
            <w:r>
              <w:br/>
            </w:r>
            <w:r>
              <w:rPr>
                <w:rFonts w:ascii="Arial" w:hAnsi="Arial" w:eastAsia="Arial" w:cs="Arial"/>
                <w:color w:val="000000"/>
                <w:sz w:val="20"/>
              </w:rPr>
              <w:t>The receipt of a service during the reporting period is defined as having provided at least one hour of program specific service to the client during the reporting period.</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Integrated Reports and Information System (IRIS)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IRIS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IRIS family violence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SAMS2/Service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April 2025</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8"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Prevention of Family Violence 38029 Perpetrators Responses Family Violence</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