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9018B" w14:textId="77777777" w:rsidR="00051172" w:rsidRDefault="00A67502">
      <w:pPr>
        <w:spacing w:before="100" w:line="288" w:lineRule="auto"/>
        <w:ind w:left="-699"/>
      </w:pPr>
      <w:r>
        <w:rPr>
          <w:noProof/>
        </w:rPr>
        <w:drawing>
          <wp:inline distT="0" distB="0" distL="0" distR="0" wp14:anchorId="06F72EAD" wp14:editId="469541C7">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051172" w14:paraId="080B3478" w14:textId="77777777">
        <w:tc>
          <w:tcPr>
            <w:tcW w:w="10206" w:type="dxa"/>
            <w:shd w:val="clear" w:color="auto" w:fill="FFFFFF"/>
            <w:vAlign w:val="bottom"/>
          </w:tcPr>
          <w:p w14:paraId="53AD057D" w14:textId="77777777" w:rsidR="00051172" w:rsidRDefault="00051172">
            <w:pPr>
              <w:spacing w:line="560" w:lineRule="atLeast"/>
              <w:rPr>
                <w:rFonts w:ascii="Arial" w:eastAsia="Arial" w:hAnsi="Arial" w:cs="Arial"/>
                <w:color w:val="000000"/>
                <w:sz w:val="20"/>
              </w:rPr>
            </w:pPr>
          </w:p>
          <w:p w14:paraId="2FB87E01" w14:textId="77777777" w:rsidR="00051172" w:rsidRDefault="00A67502">
            <w:pPr>
              <w:spacing w:line="560" w:lineRule="atLeast"/>
              <w:rPr>
                <w:rFonts w:ascii="Arial" w:eastAsia="Arial" w:hAnsi="Arial" w:cs="Arial"/>
                <w:color w:val="201547"/>
                <w:sz w:val="44"/>
              </w:rPr>
            </w:pPr>
            <w:r>
              <w:rPr>
                <w:rFonts w:ascii="Arial" w:eastAsia="Arial" w:hAnsi="Arial" w:cs="Arial"/>
                <w:color w:val="201547"/>
                <w:sz w:val="44"/>
              </w:rPr>
              <w:t>Flexible Funding Family Violence and Sexual Assault</w:t>
            </w:r>
          </w:p>
          <w:p w14:paraId="53C6ADED" w14:textId="77777777" w:rsidR="00051172" w:rsidRDefault="00A67502">
            <w:pPr>
              <w:spacing w:line="560" w:lineRule="atLeast"/>
              <w:rPr>
                <w:rFonts w:ascii="Arial" w:eastAsia="Arial" w:hAnsi="Arial" w:cs="Arial"/>
                <w:color w:val="201547"/>
                <w:sz w:val="44"/>
              </w:rPr>
            </w:pPr>
            <w:r>
              <w:rPr>
                <w:rFonts w:ascii="Arial" w:eastAsia="Arial" w:hAnsi="Arial" w:cs="Arial"/>
                <w:color w:val="201547"/>
                <w:sz w:val="44"/>
              </w:rPr>
              <w:t>38026</w:t>
            </w:r>
          </w:p>
        </w:tc>
      </w:tr>
      <w:tr w:rsidR="00051172" w14:paraId="2FDAF576" w14:textId="77777777">
        <w:tc>
          <w:tcPr>
            <w:tcW w:w="10206" w:type="dxa"/>
            <w:shd w:val="clear" w:color="auto" w:fill="FFFFFF"/>
          </w:tcPr>
          <w:p w14:paraId="30E88B21" w14:textId="77777777" w:rsidR="00051172" w:rsidRDefault="00A67502">
            <w:pPr>
              <w:spacing w:after="120"/>
              <w:rPr>
                <w:rFonts w:ascii="Arial" w:eastAsia="Arial" w:hAnsi="Arial" w:cs="Arial"/>
                <w:color w:val="201547"/>
                <w:sz w:val="28"/>
              </w:rPr>
            </w:pPr>
            <w:r>
              <w:rPr>
                <w:rFonts w:ascii="Arial" w:eastAsia="Arial" w:hAnsi="Arial" w:cs="Arial"/>
                <w:color w:val="201547"/>
                <w:sz w:val="28"/>
              </w:rPr>
              <w:t>Outcome objective: Victorians are safe and secure</w:t>
            </w:r>
          </w:p>
          <w:p w14:paraId="642E38EB" w14:textId="77777777" w:rsidR="00051172" w:rsidRDefault="00A67502">
            <w:pPr>
              <w:spacing w:after="120"/>
              <w:rPr>
                <w:rFonts w:ascii="Arial" w:eastAsia="Arial" w:hAnsi="Arial" w:cs="Arial"/>
                <w:color w:val="201547"/>
                <w:sz w:val="28"/>
              </w:rPr>
            </w:pPr>
            <w:r>
              <w:rPr>
                <w:rFonts w:ascii="Arial" w:eastAsia="Arial" w:hAnsi="Arial" w:cs="Arial"/>
                <w:color w:val="201547"/>
                <w:sz w:val="28"/>
              </w:rPr>
              <w:t>Output group: Family Violence Service Delivery</w:t>
            </w:r>
          </w:p>
          <w:p w14:paraId="5C4A7798" w14:textId="77777777" w:rsidR="00051172" w:rsidRDefault="00A67502">
            <w:pPr>
              <w:spacing w:after="120"/>
              <w:rPr>
                <w:rFonts w:ascii="Arial" w:eastAsia="Arial" w:hAnsi="Arial" w:cs="Arial"/>
                <w:color w:val="201547"/>
                <w:sz w:val="28"/>
              </w:rPr>
            </w:pPr>
            <w:r>
              <w:rPr>
                <w:rFonts w:ascii="Arial" w:eastAsia="Arial" w:hAnsi="Arial" w:cs="Arial"/>
                <w:color w:val="201547"/>
                <w:sz w:val="28"/>
              </w:rPr>
              <w:t>Output: Family Violence Service Delivery</w:t>
            </w:r>
          </w:p>
        </w:tc>
      </w:tr>
    </w:tbl>
    <w:p w14:paraId="7E077147" w14:textId="77777777" w:rsidR="00051172" w:rsidRDefault="00A67502">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7E91A095" w14:textId="77777777" w:rsidR="00051172" w:rsidRDefault="00A67502">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1. Service objective</w:t>
      </w:r>
    </w:p>
    <w:p w14:paraId="33CA74A2" w14:textId="77777777" w:rsidR="00051172" w:rsidRDefault="00A67502">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Flexible funding for </w:t>
      </w:r>
      <w:r>
        <w:rPr>
          <w:rFonts w:ascii="Arial" w:eastAsia="Arial" w:hAnsi="Arial" w:cs="Arial"/>
          <w:color w:val="000000"/>
          <w:sz w:val="20"/>
        </w:rPr>
        <w:t>victim survivors of family violence and/or victim survivors of sexual assault aims to assist eligible adult and child victim survivors of family violence and sexual assault to access a range of tailored supports to live free from violence and sexual harm a</w:t>
      </w:r>
      <w:r>
        <w:rPr>
          <w:rFonts w:ascii="Arial" w:eastAsia="Arial" w:hAnsi="Arial" w:cs="Arial"/>
          <w:color w:val="000000"/>
          <w:sz w:val="20"/>
        </w:rPr>
        <w:t>nd achieve positive long-term outcomes relating to safety, wellbeing, and independence through the provision of flexible support funding.</w:t>
      </w:r>
    </w:p>
    <w:p w14:paraId="78E9321B" w14:textId="77777777" w:rsidR="00051172" w:rsidRDefault="00A67502">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2. Description of the service</w:t>
      </w:r>
    </w:p>
    <w:p w14:paraId="25342C0C" w14:textId="77777777" w:rsidR="00051172" w:rsidRDefault="00A67502">
      <w:pPr>
        <w:spacing w:line="270" w:lineRule="atLeast"/>
        <w:ind w:left="111" w:right="105"/>
        <w:rPr>
          <w:rFonts w:ascii="Arial" w:eastAsia="Arial" w:hAnsi="Arial" w:cs="Arial"/>
          <w:color w:val="000000"/>
          <w:sz w:val="20"/>
        </w:rPr>
      </w:pPr>
      <w:r>
        <w:rPr>
          <w:rFonts w:ascii="Arial" w:eastAsia="Arial" w:hAnsi="Arial" w:cs="Arial"/>
          <w:color w:val="000000"/>
          <w:sz w:val="20"/>
        </w:rPr>
        <w:t>Flexible funding: family violence Flexible Support Packages (FSPs) deliver a personalise</w:t>
      </w:r>
      <w:r>
        <w:rPr>
          <w:rFonts w:ascii="Arial" w:eastAsia="Arial" w:hAnsi="Arial" w:cs="Arial"/>
          <w:color w:val="000000"/>
          <w:sz w:val="20"/>
        </w:rPr>
        <w:t>d and holistic response to assist victim survivors (including children and young people as victim survivors in their own right) who have experienced or are experiencing family violence to access support, move out of crisis, stabilise and improve safety, we</w:t>
      </w:r>
      <w:r>
        <w:rPr>
          <w:rFonts w:ascii="Arial" w:eastAsia="Arial" w:hAnsi="Arial" w:cs="Arial"/>
          <w:color w:val="000000"/>
          <w:sz w:val="20"/>
        </w:rPr>
        <w:t xml:space="preserve">llbeing and independence. </w:t>
      </w:r>
      <w:r>
        <w:br/>
      </w:r>
      <w:r>
        <w:rPr>
          <w:rFonts w:ascii="Arial" w:eastAsia="Arial" w:hAnsi="Arial" w:cs="Arial"/>
          <w:color w:val="000000"/>
          <w:sz w:val="20"/>
        </w:rPr>
        <w:t xml:space="preserve">Family violence flexible support packages aim to assist in the achievement of goals outlined in a victim survivor’s case management or support plan that deliver the following outcomes in a manner that is tailored to </w:t>
      </w:r>
      <w:r>
        <w:rPr>
          <w:rFonts w:ascii="Arial" w:eastAsia="Arial" w:hAnsi="Arial" w:cs="Arial"/>
          <w:color w:val="000000"/>
          <w:sz w:val="20"/>
        </w:rPr>
        <w:t>address individual needs and priorities:</w:t>
      </w:r>
      <w:r>
        <w:br/>
      </w:r>
      <w:r>
        <w:rPr>
          <w:rFonts w:ascii="Arial" w:eastAsia="Arial" w:hAnsi="Arial" w:cs="Arial"/>
          <w:color w:val="000000"/>
          <w:sz w:val="20"/>
        </w:rPr>
        <w:t xml:space="preserve">Flexible funding: sexual assault support brokerage (SASB) delivers a flexible, holistic, person-centred response to assist the recovery and wellbeing of sexual assault victim survivors, including children and young </w:t>
      </w:r>
      <w:r>
        <w:rPr>
          <w:rFonts w:ascii="Arial" w:eastAsia="Arial" w:hAnsi="Arial" w:cs="Arial"/>
          <w:color w:val="000000"/>
          <w:sz w:val="20"/>
        </w:rPr>
        <w:t xml:space="preserve">people. </w:t>
      </w:r>
      <w:r>
        <w:br/>
      </w:r>
      <w:r>
        <w:rPr>
          <w:rFonts w:ascii="Arial" w:eastAsia="Arial" w:hAnsi="Arial" w:cs="Arial"/>
          <w:color w:val="000000"/>
          <w:sz w:val="20"/>
        </w:rPr>
        <w:t>The brokerage funding aims to respond to the individual support needs of victim survivors of sexual assault that are outlined in their support plan. Victim survivors include those who have recently experienced sexual assault, as well as adult surv</w:t>
      </w:r>
      <w:r>
        <w:rPr>
          <w:rFonts w:ascii="Arial" w:eastAsia="Arial" w:hAnsi="Arial" w:cs="Arial"/>
          <w:color w:val="000000"/>
          <w:sz w:val="20"/>
        </w:rPr>
        <w:t>ivors of childhood sexual assault or past adult sexual assault who present for assistance.</w:t>
      </w:r>
      <w:r>
        <w:br/>
      </w:r>
      <w:r>
        <w:rPr>
          <w:rFonts w:ascii="Arial" w:eastAsia="Arial" w:hAnsi="Arial" w:cs="Arial"/>
          <w:color w:val="000000"/>
          <w:sz w:val="20"/>
        </w:rPr>
        <w:t>Flexible Funding: Family violence crisis brokerage (FVCB) delivers brokerage to Victim Survivors of Family Violence and aims to reduce the risk by providing individu</w:t>
      </w:r>
      <w:r>
        <w:rPr>
          <w:rFonts w:ascii="Arial" w:eastAsia="Arial" w:hAnsi="Arial" w:cs="Arial"/>
          <w:color w:val="000000"/>
          <w:sz w:val="20"/>
        </w:rPr>
        <w:t>alized, person-centered brokerage to support victim survivors, including children and young people, to take the immediate actions necessary to increase their safety including:</w:t>
      </w:r>
      <w:r>
        <w:br/>
      </w:r>
      <w:r>
        <w:rPr>
          <w:rFonts w:ascii="Arial" w:eastAsia="Arial" w:hAnsi="Arial" w:cs="Arial"/>
          <w:color w:val="000000"/>
          <w:sz w:val="20"/>
        </w:rPr>
        <w:t>• victim survivors who are escaping and / or have recently experienced family vi</w:t>
      </w:r>
      <w:r>
        <w:rPr>
          <w:rFonts w:ascii="Arial" w:eastAsia="Arial" w:hAnsi="Arial" w:cs="Arial"/>
          <w:color w:val="000000"/>
          <w:sz w:val="20"/>
        </w:rPr>
        <w:t xml:space="preserve">olence </w:t>
      </w:r>
      <w:r>
        <w:br/>
      </w:r>
      <w:r>
        <w:rPr>
          <w:rFonts w:ascii="Arial" w:eastAsia="Arial" w:hAnsi="Arial" w:cs="Arial"/>
          <w:color w:val="000000"/>
          <w:sz w:val="20"/>
        </w:rPr>
        <w:t>• victim survivors who are planning to leave an abusive situation or have the perpetrator removed.</w:t>
      </w:r>
    </w:p>
    <w:p w14:paraId="5D8A941C" w14:textId="77777777" w:rsidR="00051172" w:rsidRDefault="00A67502">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lastRenderedPageBreak/>
        <w:t>3. Client group</w:t>
      </w:r>
    </w:p>
    <w:p w14:paraId="2860E884" w14:textId="77777777" w:rsidR="00051172" w:rsidRDefault="00A67502">
      <w:pPr>
        <w:spacing w:line="288" w:lineRule="auto"/>
        <w:ind w:left="111" w:right="105"/>
        <w:rPr>
          <w:rFonts w:ascii="Arial" w:eastAsia="Arial" w:hAnsi="Arial" w:cs="Arial"/>
          <w:color w:val="000000"/>
          <w:sz w:val="20"/>
        </w:rPr>
      </w:pPr>
      <w:r>
        <w:rPr>
          <w:rFonts w:ascii="Arial" w:eastAsia="Arial" w:hAnsi="Arial" w:cs="Arial"/>
          <w:color w:val="000000"/>
          <w:sz w:val="20"/>
        </w:rPr>
        <w:t xml:space="preserve">The client group is victim survivors of family violence and/or victim survivors of sexual assault. </w:t>
      </w:r>
    </w:p>
    <w:p w14:paraId="28C4CA79" w14:textId="77777777" w:rsidR="00051172" w:rsidRDefault="00A67502">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4. Obligations specific to this a</w:t>
      </w:r>
      <w:r>
        <w:rPr>
          <w:rFonts w:ascii="Arial" w:eastAsia="Arial" w:hAnsi="Arial" w:cs="Arial"/>
          <w:b/>
          <w:bCs/>
          <w:color w:val="201547"/>
          <w:sz w:val="28"/>
        </w:rPr>
        <w:t>ctivity</w:t>
      </w:r>
    </w:p>
    <w:p w14:paraId="2098587A" w14:textId="77777777" w:rsidR="00051172" w:rsidRDefault="00A67502">
      <w:pPr>
        <w:spacing w:line="288" w:lineRule="auto"/>
        <w:ind w:left="111" w:right="105"/>
        <w:rPr>
          <w:rFonts w:ascii="Arial" w:eastAsia="Arial" w:hAnsi="Arial" w:cs="Arial"/>
          <w:color w:val="000000"/>
          <w:sz w:val="20"/>
        </w:rPr>
      </w:pPr>
      <w:r>
        <w:rPr>
          <w:rFonts w:ascii="Arial" w:eastAsia="Arial" w:hAnsi="Arial" w:cs="Arial"/>
          <w:color w:val="000000"/>
          <w:sz w:val="20"/>
        </w:rPr>
        <w:t>In addition to the obligations listed in the Service Agreement, organisations funded to deliver this activity must comply with the following:</w:t>
      </w:r>
    </w:p>
    <w:p w14:paraId="0F8715F7" w14:textId="77777777" w:rsidR="00051172" w:rsidRDefault="00A67502">
      <w:pPr>
        <w:spacing w:before="240" w:after="90" w:line="320" w:lineRule="atLeast"/>
        <w:ind w:left="111" w:right="105"/>
        <w:rPr>
          <w:rFonts w:ascii="Arial" w:eastAsia="Arial" w:hAnsi="Arial" w:cs="Arial"/>
          <w:b/>
          <w:bCs/>
          <w:color w:val="201547"/>
        </w:rPr>
      </w:pPr>
      <w:r>
        <w:rPr>
          <w:rFonts w:ascii="Arial" w:eastAsia="Arial" w:hAnsi="Arial" w:cs="Arial"/>
          <w:b/>
          <w:bCs/>
          <w:color w:val="201547"/>
        </w:rPr>
        <w:t>4a. Registration and Accreditation</w:t>
      </w:r>
    </w:p>
    <w:p w14:paraId="4C626FCF" w14:textId="77777777" w:rsidR="00051172" w:rsidRDefault="00A67502">
      <w:pPr>
        <w:numPr>
          <w:ilvl w:val="0"/>
          <w:numId w:val="13"/>
        </w:numPr>
        <w:spacing w:after="40" w:line="270" w:lineRule="atLeast"/>
        <w:rPr>
          <w:rFonts w:ascii="Arial" w:eastAsia="Arial" w:hAnsi="Arial" w:cs="Arial"/>
          <w:b/>
          <w:bCs/>
          <w:color w:val="000000"/>
          <w:sz w:val="20"/>
        </w:rPr>
      </w:pPr>
      <w:r>
        <w:rPr>
          <w:rFonts w:ascii="Arial" w:eastAsia="Arial" w:hAnsi="Arial" w:cs="Arial"/>
          <w:color w:val="000000"/>
          <w:sz w:val="20"/>
        </w:rPr>
        <w:t>Independent review and accreditation against the department’s Human Ser</w:t>
      </w:r>
      <w:r>
        <w:rPr>
          <w:rFonts w:ascii="Arial" w:eastAsia="Arial" w:hAnsi="Arial" w:cs="Arial"/>
          <w:color w:val="000000"/>
          <w:sz w:val="20"/>
        </w:rPr>
        <w:t>vices Standards, unless exempted.</w:t>
      </w:r>
      <w:r>
        <w:rPr>
          <w:rFonts w:ascii="Arial" w:eastAsia="Arial" w:hAnsi="Arial" w:cs="Arial"/>
          <w:b/>
          <w:bCs/>
          <w:color w:val="000000"/>
          <w:sz w:val="20"/>
        </w:rPr>
        <w:t xml:space="preserve"> </w:t>
      </w:r>
    </w:p>
    <w:p w14:paraId="7768322F" w14:textId="77777777" w:rsidR="00051172" w:rsidRDefault="00A67502">
      <w:pPr>
        <w:spacing w:before="240" w:after="90" w:line="320" w:lineRule="atLeast"/>
        <w:ind w:left="111" w:right="105"/>
        <w:rPr>
          <w:rFonts w:ascii="Arial" w:eastAsia="Arial" w:hAnsi="Arial" w:cs="Arial"/>
          <w:color w:val="000000"/>
        </w:rPr>
      </w:pPr>
      <w:r>
        <w:rPr>
          <w:rFonts w:ascii="Arial" w:eastAsia="Arial" w:hAnsi="Arial" w:cs="Arial"/>
          <w:b/>
          <w:bCs/>
          <w:color w:val="201547"/>
        </w:rPr>
        <w:t>4b. Program requirements and other policy guidelines</w:t>
      </w:r>
    </w:p>
    <w:p w14:paraId="735A3B0B" w14:textId="77777777" w:rsidR="00051172" w:rsidRDefault="00A67502">
      <w:pPr>
        <w:numPr>
          <w:ilvl w:val="0"/>
          <w:numId w:val="13"/>
        </w:numPr>
        <w:spacing w:after="40" w:line="270" w:lineRule="atLeast"/>
        <w:rPr>
          <w:rFonts w:ascii="Arial" w:eastAsia="Arial" w:hAnsi="Arial" w:cs="Arial"/>
          <w:color w:val="3366FF"/>
          <w:sz w:val="20"/>
        </w:rPr>
      </w:pPr>
      <w:hyperlink r:id="rId8" w:tgtFrame="_blank" w:history="1">
        <w:r>
          <w:rPr>
            <w:rFonts w:ascii="Arial" w:eastAsia="Arial" w:hAnsi="Arial" w:cs="Arial"/>
            <w:color w:val="3366FF"/>
            <w:sz w:val="20"/>
          </w:rPr>
          <w:t>Human Services Standards policy</w:t>
        </w:r>
      </w:hyperlink>
    </w:p>
    <w:p w14:paraId="67980C81" w14:textId="77777777" w:rsidR="00051172" w:rsidRDefault="00A67502">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&lt;https://providers.dffh.vic.gov.au/human-services-standards-policy&gt;</w:t>
      </w:r>
    </w:p>
    <w:p w14:paraId="4F24A646" w14:textId="77777777" w:rsidR="00051172" w:rsidRDefault="00A67502">
      <w:pPr>
        <w:numPr>
          <w:ilvl w:val="0"/>
          <w:numId w:val="13"/>
        </w:numPr>
        <w:spacing w:after="40" w:line="270" w:lineRule="atLeast"/>
        <w:rPr>
          <w:rFonts w:ascii="Arial" w:eastAsia="Arial" w:hAnsi="Arial" w:cs="Arial"/>
          <w:color w:val="3366FF"/>
          <w:sz w:val="20"/>
        </w:rPr>
      </w:pPr>
      <w:hyperlink r:id="rId9" w:tgtFrame="_blank" w:history="1">
        <w:r>
          <w:rPr>
            <w:rFonts w:ascii="Arial" w:eastAsia="Arial" w:hAnsi="Arial" w:cs="Arial"/>
            <w:color w:val="3366FF"/>
            <w:sz w:val="20"/>
          </w:rPr>
          <w:t>Family Violence Flexible Support Packages Program Guidelines</w:t>
        </w:r>
      </w:hyperlink>
    </w:p>
    <w:p w14:paraId="4C0BBD78" w14:textId="77777777" w:rsidR="00051172" w:rsidRDefault="00A67502">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&lt;https://providers.dffh.vic.gov.au/family-violence-flexible-support-packages-program-requirements-word&gt;</w:t>
      </w:r>
    </w:p>
    <w:p w14:paraId="79708FF6" w14:textId="77777777" w:rsidR="00051172" w:rsidRDefault="00A67502">
      <w:pPr>
        <w:numPr>
          <w:ilvl w:val="0"/>
          <w:numId w:val="13"/>
        </w:numPr>
        <w:spacing w:after="40" w:line="270" w:lineRule="atLeast"/>
        <w:rPr>
          <w:rFonts w:ascii="Arial" w:eastAsia="Arial" w:hAnsi="Arial" w:cs="Arial"/>
          <w:color w:val="3366FF"/>
          <w:sz w:val="20"/>
        </w:rPr>
      </w:pPr>
      <w:hyperlink r:id="rId10" w:tgtFrame="_blank" w:history="1">
        <w:r>
          <w:rPr>
            <w:rFonts w:ascii="Arial" w:eastAsia="Arial" w:hAnsi="Arial" w:cs="Arial"/>
            <w:color w:val="3366FF"/>
            <w:sz w:val="20"/>
          </w:rPr>
          <w:t>Personal Safety Initiative Operational Guidelines</w:t>
        </w:r>
      </w:hyperlink>
    </w:p>
    <w:p w14:paraId="6E4FDBBB" w14:textId="77777777" w:rsidR="00051172" w:rsidRDefault="00A67502">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&lt;https://providers.dffh.vic.gov.au/personal-safety-initiative-operational-guidelines&gt;</w:t>
      </w:r>
    </w:p>
    <w:p w14:paraId="08AD8F72" w14:textId="77777777" w:rsidR="00051172" w:rsidRDefault="00A67502">
      <w:pPr>
        <w:numPr>
          <w:ilvl w:val="0"/>
          <w:numId w:val="13"/>
        </w:numPr>
        <w:spacing w:after="40" w:line="270" w:lineRule="atLeast"/>
        <w:rPr>
          <w:rFonts w:ascii="Arial" w:eastAsia="Arial" w:hAnsi="Arial" w:cs="Arial"/>
          <w:color w:val="3366FF"/>
          <w:sz w:val="20"/>
        </w:rPr>
      </w:pPr>
      <w:hyperlink r:id="rId11" w:tgtFrame="_blank" w:history="1">
        <w:r>
          <w:rPr>
            <w:rFonts w:ascii="Arial" w:eastAsia="Arial" w:hAnsi="Arial" w:cs="Arial"/>
            <w:color w:val="3366FF"/>
            <w:sz w:val="20"/>
          </w:rPr>
          <w:t>Family Violence Crisis Brokerage Program Requirements</w:t>
        </w:r>
      </w:hyperlink>
    </w:p>
    <w:p w14:paraId="0564BB4B" w14:textId="77777777" w:rsidR="00051172" w:rsidRDefault="00A67502">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&lt;https://fac.dhhs.vic.gov.au/news/updated-family-violence-crisis-brokerage-guidelines&gt;</w:t>
      </w:r>
    </w:p>
    <w:p w14:paraId="0471EC8A" w14:textId="77777777" w:rsidR="00051172" w:rsidRDefault="00A67502">
      <w:pPr>
        <w:numPr>
          <w:ilvl w:val="0"/>
          <w:numId w:val="13"/>
        </w:numPr>
        <w:spacing w:after="40" w:line="270" w:lineRule="atLeast"/>
        <w:rPr>
          <w:rFonts w:ascii="Arial" w:eastAsia="Arial" w:hAnsi="Arial" w:cs="Arial"/>
          <w:color w:val="3366FF"/>
          <w:sz w:val="20"/>
        </w:rPr>
      </w:pPr>
      <w:hyperlink r:id="rId12" w:tgtFrame="_blank" w:history="1">
        <w:r>
          <w:rPr>
            <w:rFonts w:ascii="Arial" w:eastAsia="Arial" w:hAnsi="Arial" w:cs="Arial"/>
            <w:color w:val="3366FF"/>
            <w:sz w:val="20"/>
          </w:rPr>
          <w:t>Sexual Assault Support Brokerage Guidelines</w:t>
        </w:r>
      </w:hyperlink>
    </w:p>
    <w:p w14:paraId="218C17C4" w14:textId="77777777" w:rsidR="00051172" w:rsidRDefault="00A67502">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&lt;https://fac.dffh.vic.gov.au/sexual-assault-support-brokerage-program-guideline.&gt;</w:t>
      </w:r>
    </w:p>
    <w:p w14:paraId="1678856F" w14:textId="77777777" w:rsidR="00051172" w:rsidRDefault="00A67502">
      <w:pPr>
        <w:numPr>
          <w:ilvl w:val="0"/>
          <w:numId w:val="13"/>
        </w:numPr>
        <w:spacing w:after="40" w:line="270" w:lineRule="atLeast"/>
        <w:rPr>
          <w:rFonts w:ascii="Arial" w:eastAsia="Arial" w:hAnsi="Arial" w:cs="Arial"/>
          <w:color w:val="3366FF"/>
          <w:sz w:val="20"/>
        </w:rPr>
      </w:pPr>
      <w:hyperlink r:id="rId13" w:tgtFrame="_blank" w:history="1">
        <w:r>
          <w:rPr>
            <w:rFonts w:ascii="Arial" w:eastAsia="Arial" w:hAnsi="Arial" w:cs="Arial"/>
            <w:color w:val="3366FF"/>
            <w:sz w:val="20"/>
          </w:rPr>
          <w:t>Code of Practic</w:t>
        </w:r>
        <w:r>
          <w:rPr>
            <w:rFonts w:ascii="Arial" w:eastAsia="Arial" w:hAnsi="Arial" w:cs="Arial"/>
            <w:color w:val="3366FF"/>
            <w:sz w:val="20"/>
          </w:rPr>
          <w:t>e: Principles and Standards for Specialist Family Violence Services for Victim-Survivors</w:t>
        </w:r>
      </w:hyperlink>
    </w:p>
    <w:p w14:paraId="28A3B4E3" w14:textId="77777777" w:rsidR="00051172" w:rsidRDefault="00A67502">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&lt;https://safeandequal.org.au/working-in-family-violence/service-responses/specialist-family-violence-services/the-code-of-practice/&gt;</w:t>
      </w:r>
    </w:p>
    <w:p w14:paraId="2B5F3FD5" w14:textId="77777777" w:rsidR="00051172" w:rsidRDefault="00051172">
      <w:pPr>
        <w:spacing w:line="270" w:lineRule="atLeast"/>
        <w:ind w:left="111" w:right="105"/>
        <w:rPr>
          <w:rFonts w:ascii="Arial" w:eastAsia="Arial" w:hAnsi="Arial" w:cs="Arial"/>
          <w:color w:val="000000"/>
          <w:sz w:val="20"/>
        </w:rPr>
      </w:pPr>
    </w:p>
    <w:p w14:paraId="0020A048" w14:textId="77777777" w:rsidR="00051172" w:rsidRDefault="00A67502">
      <w:pPr>
        <w:spacing w:before="320" w:after="200" w:line="440" w:lineRule="atLeast"/>
        <w:ind w:left="111" w:right="105"/>
        <w:rPr>
          <w:rFonts w:ascii="Arial" w:eastAsia="Arial" w:hAnsi="Arial" w:cs="Arial"/>
          <w:color w:val="000000"/>
          <w:sz w:val="20"/>
        </w:rPr>
      </w:pPr>
      <w:r>
        <w:rPr>
          <w:rFonts w:ascii="Arial" w:eastAsia="Arial" w:hAnsi="Arial" w:cs="Arial"/>
          <w:b/>
          <w:bCs/>
          <w:color w:val="201547"/>
          <w:sz w:val="28"/>
        </w:rPr>
        <w:t>5. Performance</w:t>
      </w:r>
    </w:p>
    <w:p w14:paraId="7EB18BB8" w14:textId="77777777" w:rsidR="00051172" w:rsidRDefault="00A67502">
      <w:pPr>
        <w:spacing w:line="288" w:lineRule="auto"/>
        <w:ind w:left="111" w:right="105"/>
        <w:rPr>
          <w:rFonts w:ascii="Arial" w:eastAsia="Arial" w:hAnsi="Arial" w:cs="Arial"/>
          <w:color w:val="000000"/>
          <w:sz w:val="20"/>
        </w:rPr>
      </w:pPr>
      <w:r>
        <w:rPr>
          <w:rFonts w:ascii="Arial" w:eastAsia="Arial" w:hAnsi="Arial" w:cs="Arial"/>
          <w:color w:val="000000"/>
          <w:sz w:val="20"/>
        </w:rPr>
        <w:t>Funding is subject</w:t>
      </w:r>
      <w:r>
        <w:rPr>
          <w:rFonts w:ascii="Arial" w:eastAsia="Arial" w:hAnsi="Arial" w:cs="Arial"/>
          <w:color w:val="000000"/>
          <w:sz w:val="20"/>
        </w:rPr>
        <w:t xml:space="preserve"> to achieving the performance targets specified in Schedule 2 of the Service Agreement. </w:t>
      </w:r>
    </w:p>
    <w:p w14:paraId="7C4A206E" w14:textId="77777777" w:rsidR="00051172" w:rsidRDefault="00A67502">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42CB1DA9" w14:textId="77777777" w:rsidR="00051172" w:rsidRDefault="00A67502">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1: Number of packages - FSP</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051172" w14:paraId="3100465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53DC66C"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DF1D189"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The aim of this performance measure is to count the number of </w:t>
            </w:r>
            <w:r>
              <w:rPr>
                <w:rFonts w:ascii="Arial" w:eastAsia="Arial" w:hAnsi="Arial" w:cs="Arial"/>
                <w:color w:val="000000"/>
                <w:sz w:val="20"/>
              </w:rPr>
              <w:t>family violence flexible support packages provided to eligible victim survivors.</w:t>
            </w:r>
          </w:p>
        </w:tc>
      </w:tr>
      <w:tr w:rsidR="00051172" w14:paraId="38622E6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2985691"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93DF162"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051172" w14:paraId="7C2734B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99B9557"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0BCF59C"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051172" w14:paraId="6E4B1A93"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71D4E09"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A4759C2"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Count each time a new package is administered </w:t>
            </w:r>
            <w:r>
              <w:rPr>
                <w:rFonts w:ascii="Arial" w:eastAsia="Arial" w:hAnsi="Arial" w:cs="Arial"/>
                <w:color w:val="000000"/>
                <w:sz w:val="20"/>
              </w:rPr>
              <w:t>during the reporting period</w:t>
            </w:r>
          </w:p>
        </w:tc>
      </w:tr>
      <w:tr w:rsidR="00051172" w14:paraId="691FB0F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24774F5"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A5EC914" w14:textId="77777777" w:rsidR="00051172" w:rsidRDefault="00A67502">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Service Delivery Tracking (SDT)</w:t>
            </w:r>
          </w:p>
          <w:p w14:paraId="4154B139" w14:textId="77777777" w:rsidR="00051172" w:rsidRDefault="00A67502">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Family violence flexible support package year-to-date funding acquittal</w:t>
            </w:r>
          </w:p>
        </w:tc>
      </w:tr>
      <w:tr w:rsidR="00051172" w14:paraId="728291C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FD41A90"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70C00AD"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An eligible victim survivor is any person who is experiencing or has experie</w:t>
            </w:r>
            <w:r>
              <w:rPr>
                <w:rFonts w:ascii="Arial" w:eastAsia="Arial" w:hAnsi="Arial" w:cs="Arial"/>
                <w:color w:val="000000"/>
                <w:sz w:val="20"/>
              </w:rPr>
              <w:t>nced family violence, as per the Family Violence Protection Act 2008, and who meets the eligibility criteria set out in the family violence flexible support package program guidelines.</w:t>
            </w:r>
            <w:r>
              <w:br/>
            </w:r>
          </w:p>
        </w:tc>
      </w:tr>
    </w:tbl>
    <w:p w14:paraId="161FBAEB" w14:textId="77777777" w:rsidR="00051172" w:rsidRDefault="00A67502">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 xml:space="preserve">Key performance measure 2: Brokerage expended in the </w:t>
      </w:r>
      <w:r>
        <w:rPr>
          <w:rFonts w:ascii="Arial" w:eastAsia="Arial" w:hAnsi="Arial" w:cs="Arial"/>
          <w:b/>
          <w:bCs/>
          <w:color w:val="201547"/>
          <w:sz w:val="20"/>
        </w:rPr>
        <w:t>reporting period - FVCB</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051172" w14:paraId="217761E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A527640"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88F6DE3"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aim of this performance measure is to monitor the total amount of brokerage that has been expended on individuals (including children as unique persons).</w:t>
            </w:r>
          </w:p>
        </w:tc>
      </w:tr>
      <w:tr w:rsidR="00051172" w14:paraId="20BFE63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BF2A1FE"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63D8263"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w:t>
            </w:r>
            <w:r>
              <w:rPr>
                <w:rFonts w:ascii="Arial" w:eastAsia="Arial" w:hAnsi="Arial" w:cs="Arial"/>
                <w:color w:val="000000"/>
                <w:sz w:val="20"/>
              </w:rPr>
              <w:t>rvice Agreement.</w:t>
            </w:r>
          </w:p>
        </w:tc>
      </w:tr>
      <w:tr w:rsidR="00051172" w14:paraId="2710B2F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CEF5BB6"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59E5ADE"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051172" w14:paraId="5BF6862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6AE9009"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1D88F19"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Calculate the total amount of crisis brokerage that has been expended during the reporting period. </w:t>
            </w:r>
            <w:r>
              <w:br/>
            </w:r>
            <w:r>
              <w:rPr>
                <w:rFonts w:ascii="Arial" w:eastAsia="Arial" w:hAnsi="Arial" w:cs="Arial"/>
                <w:color w:val="000000"/>
                <w:sz w:val="20"/>
              </w:rPr>
              <w:t xml:space="preserve">The amount should be exclusive of GST.  </w:t>
            </w:r>
          </w:p>
        </w:tc>
      </w:tr>
      <w:tr w:rsidR="00051172" w14:paraId="7C07B6F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B85585E"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59BCB96" w14:textId="77777777" w:rsidR="00051172" w:rsidRDefault="00A67502">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Service Delivery Tracking (SDT</w:t>
            </w:r>
            <w:r>
              <w:rPr>
                <w:rFonts w:ascii="Arial" w:eastAsia="Arial" w:hAnsi="Arial" w:cs="Arial"/>
                <w:color w:val="000000"/>
                <w:sz w:val="20"/>
              </w:rPr>
              <w:t>)</w:t>
            </w:r>
          </w:p>
          <w:p w14:paraId="24DE3799" w14:textId="77777777" w:rsidR="00051172" w:rsidRDefault="00A67502">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Family Violence Crisis Brokerage Data</w:t>
            </w:r>
          </w:p>
        </w:tc>
      </w:tr>
      <w:tr w:rsidR="00051172" w14:paraId="28A3588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F02AEB1"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4F4A67A"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An individual is any person who is experiencing or has been affected by family violence.  </w:t>
            </w:r>
            <w:r>
              <w:br/>
            </w:r>
            <w:r>
              <w:rPr>
                <w:rFonts w:ascii="Arial" w:eastAsia="Arial" w:hAnsi="Arial" w:cs="Arial"/>
                <w:color w:val="000000"/>
                <w:sz w:val="20"/>
              </w:rPr>
              <w:t xml:space="preserve">Crisis brokerage is funding under this activity of any size administered to an individual or family. </w:t>
            </w:r>
            <w:r>
              <w:br/>
            </w:r>
            <w:r>
              <w:rPr>
                <w:rFonts w:ascii="Arial" w:eastAsia="Arial" w:hAnsi="Arial" w:cs="Arial"/>
                <w:color w:val="000000"/>
                <w:sz w:val="20"/>
              </w:rPr>
              <w:t>Expended funding includes all approved and committed brokerage funding, not just funding associated with finalised invoices.</w:t>
            </w:r>
          </w:p>
        </w:tc>
      </w:tr>
    </w:tbl>
    <w:p w14:paraId="1D892F4E" w14:textId="77777777" w:rsidR="00051172" w:rsidRDefault="00A67502">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3: N</w:t>
      </w:r>
      <w:r>
        <w:rPr>
          <w:rFonts w:ascii="Arial" w:eastAsia="Arial" w:hAnsi="Arial" w:cs="Arial"/>
          <w:b/>
          <w:bCs/>
          <w:color w:val="201547"/>
          <w:sz w:val="20"/>
        </w:rPr>
        <w:t>umber of individuals assisted - FVCB</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051172" w14:paraId="599A5DF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2E89682"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FE2C488"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aim of this performance measure is to monitor the number of individuals (including children and young people as unique persons) assisted with brokerage.</w:t>
            </w:r>
          </w:p>
        </w:tc>
      </w:tr>
      <w:tr w:rsidR="00051172" w14:paraId="682B40F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2129370"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DAEDB98"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w:t>
            </w:r>
            <w:r>
              <w:rPr>
                <w:rFonts w:ascii="Arial" w:eastAsia="Arial" w:hAnsi="Arial" w:cs="Arial"/>
                <w:color w:val="000000"/>
                <w:sz w:val="20"/>
              </w:rPr>
              <w:t>ed in the Service Agreement.</w:t>
            </w:r>
          </w:p>
        </w:tc>
      </w:tr>
      <w:tr w:rsidR="00051172" w14:paraId="44931B9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E6923F8"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295B6D1"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051172" w14:paraId="4F0C47D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A97058A"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EBC761E"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Count each time an individual is assisted with brokerage during a support period.  </w:t>
            </w:r>
            <w:r>
              <w:br/>
            </w:r>
            <w:r>
              <w:rPr>
                <w:rFonts w:ascii="Arial" w:eastAsia="Arial" w:hAnsi="Arial" w:cs="Arial"/>
                <w:color w:val="000000"/>
                <w:sz w:val="20"/>
              </w:rPr>
              <w:t xml:space="preserve">If an individual is assisted with brokerage across multiple support periods during the reporting period that individual will be counted more than once.  </w:t>
            </w:r>
            <w:r>
              <w:br/>
            </w:r>
            <w:r>
              <w:rPr>
                <w:rFonts w:ascii="Arial" w:eastAsia="Arial" w:hAnsi="Arial" w:cs="Arial"/>
                <w:color w:val="000000"/>
                <w:sz w:val="20"/>
              </w:rPr>
              <w:t>If a family or household is provided with brokerage, each individual assisted including children can b</w:t>
            </w:r>
            <w:r>
              <w:rPr>
                <w:rFonts w:ascii="Arial" w:eastAsia="Arial" w:hAnsi="Arial" w:cs="Arial"/>
                <w:color w:val="000000"/>
                <w:sz w:val="20"/>
              </w:rPr>
              <w:t xml:space="preserve">e counted separately.  </w:t>
            </w:r>
          </w:p>
        </w:tc>
      </w:tr>
      <w:tr w:rsidR="00051172" w14:paraId="6BFF2A5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52C24EC"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9913F36" w14:textId="77777777" w:rsidR="00051172" w:rsidRDefault="00A67502">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Service Delivery Tracking (SDT)</w:t>
            </w:r>
          </w:p>
          <w:p w14:paraId="4432CD6A" w14:textId="77777777" w:rsidR="00051172" w:rsidRDefault="00A67502">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Family Violence Crisis Brokerage Data</w:t>
            </w:r>
          </w:p>
        </w:tc>
      </w:tr>
      <w:tr w:rsidR="00051172" w14:paraId="1362A06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707DC04"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39056E6"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An individual is any person who is experiencing or has been affected by family violence.  </w:t>
            </w:r>
            <w:r>
              <w:br/>
            </w:r>
            <w:r>
              <w:rPr>
                <w:rFonts w:ascii="Arial" w:eastAsia="Arial" w:hAnsi="Arial" w:cs="Arial"/>
                <w:color w:val="000000"/>
                <w:sz w:val="20"/>
              </w:rPr>
              <w:t>Brokerage is funding un</w:t>
            </w:r>
            <w:r>
              <w:rPr>
                <w:rFonts w:ascii="Arial" w:eastAsia="Arial" w:hAnsi="Arial" w:cs="Arial"/>
                <w:color w:val="000000"/>
                <w:sz w:val="20"/>
              </w:rPr>
              <w:t xml:space="preserve">der this activity of any size administered to an individual or family.  </w:t>
            </w:r>
            <w:r>
              <w:br/>
            </w:r>
            <w:r>
              <w:rPr>
                <w:rFonts w:ascii="Arial" w:eastAsia="Arial" w:hAnsi="Arial" w:cs="Arial"/>
                <w:color w:val="000000"/>
                <w:sz w:val="20"/>
              </w:rPr>
              <w:t>Assisted refers to any individual who benefits from provision of brokerage. For example, a household of four provided with brokerage to address accommodation costs represents four ind</w:t>
            </w:r>
            <w:r>
              <w:rPr>
                <w:rFonts w:ascii="Arial" w:eastAsia="Arial" w:hAnsi="Arial" w:cs="Arial"/>
                <w:color w:val="000000"/>
                <w:sz w:val="20"/>
              </w:rPr>
              <w:t xml:space="preserve">ividuals assisted. </w:t>
            </w:r>
          </w:p>
        </w:tc>
      </w:tr>
    </w:tbl>
    <w:p w14:paraId="49B06A02" w14:textId="77777777" w:rsidR="00051172" w:rsidRDefault="00A67502">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4: Funding expended in the reporting period - FSP</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051172" w14:paraId="133BFBE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FDF995C"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00B0E9B"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aim of this performance measure is to calculate the total amount of funding that has been expended on eligible victim survivors through the pro</w:t>
            </w:r>
            <w:r>
              <w:rPr>
                <w:rFonts w:ascii="Arial" w:eastAsia="Arial" w:hAnsi="Arial" w:cs="Arial"/>
                <w:color w:val="000000"/>
                <w:sz w:val="20"/>
              </w:rPr>
              <w:t>vision of family violence flexible support packages.</w:t>
            </w:r>
          </w:p>
        </w:tc>
      </w:tr>
      <w:tr w:rsidR="00051172" w14:paraId="49AC713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F3C3544"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3D47C2C"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051172" w14:paraId="77ACE6B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780EF0C"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85FA0EA"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051172" w14:paraId="4433F81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F1C76D7"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207E6F4"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Calculate the total amount of funding that has been expended during the </w:t>
            </w:r>
            <w:r>
              <w:rPr>
                <w:rFonts w:ascii="Arial" w:eastAsia="Arial" w:hAnsi="Arial" w:cs="Arial"/>
                <w:color w:val="000000"/>
                <w:sz w:val="20"/>
              </w:rPr>
              <w:t>reporting period, excluding funding provided to agencies for administrative costs.</w:t>
            </w:r>
          </w:p>
        </w:tc>
      </w:tr>
      <w:tr w:rsidR="00051172" w14:paraId="6B777345"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8C1F901"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47A62FE" w14:textId="77777777" w:rsidR="00051172" w:rsidRDefault="00A67502">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Service Delivery Tracking (SDT)</w:t>
            </w:r>
          </w:p>
          <w:p w14:paraId="46349CFD" w14:textId="77777777" w:rsidR="00051172" w:rsidRDefault="00A67502">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Family violence flexible support package year-to-date funding acquittal</w:t>
            </w:r>
          </w:p>
        </w:tc>
      </w:tr>
      <w:tr w:rsidR="00051172" w14:paraId="751603B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08E0458"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3497B8F"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An eligible victim survivor is any person who is experiencing or has experienced family violence, as per the Family Violence Protection Act 2008, and who meets the eligibility criteria set out in the family violence flexible support package program guideli</w:t>
            </w:r>
            <w:r>
              <w:rPr>
                <w:rFonts w:ascii="Arial" w:eastAsia="Arial" w:hAnsi="Arial" w:cs="Arial"/>
                <w:color w:val="000000"/>
                <w:sz w:val="20"/>
              </w:rPr>
              <w:t xml:space="preserve">nes. </w:t>
            </w:r>
            <w:r>
              <w:br/>
            </w:r>
            <w:r>
              <w:rPr>
                <w:rFonts w:ascii="Arial" w:eastAsia="Arial" w:hAnsi="Arial" w:cs="Arial"/>
                <w:color w:val="000000"/>
                <w:sz w:val="20"/>
              </w:rPr>
              <w:t xml:space="preserve">Funding that has been expended includes all approved and committed package funding, not just funding associated with finalised invoices. It excludes funding provided to agencies for administrative costs.  </w:t>
            </w:r>
          </w:p>
        </w:tc>
      </w:tr>
    </w:tbl>
    <w:p w14:paraId="689ABEAE" w14:textId="77777777" w:rsidR="00051172" w:rsidRDefault="00A67502">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 xml:space="preserve">Key performance measure 5: Number of </w:t>
      </w:r>
      <w:r>
        <w:rPr>
          <w:rFonts w:ascii="Arial" w:eastAsia="Arial" w:hAnsi="Arial" w:cs="Arial"/>
          <w:b/>
          <w:bCs/>
          <w:color w:val="201547"/>
          <w:sz w:val="20"/>
        </w:rPr>
        <w:t>brokerage packages - SASB</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051172" w14:paraId="24C6045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39202A3"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37BF07E"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aim of this performance measure is to record the number of packages of brokerage provided to clients (including children as unique clients)</w:t>
            </w:r>
          </w:p>
        </w:tc>
      </w:tr>
      <w:tr w:rsidR="00051172" w14:paraId="7CE3E093"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BA14D07"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614F410"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w:t>
            </w:r>
            <w:r>
              <w:rPr>
                <w:rFonts w:ascii="Arial" w:eastAsia="Arial" w:hAnsi="Arial" w:cs="Arial"/>
                <w:color w:val="000000"/>
                <w:sz w:val="20"/>
              </w:rPr>
              <w:t>ent.</w:t>
            </w:r>
          </w:p>
        </w:tc>
      </w:tr>
      <w:tr w:rsidR="00051172" w14:paraId="3FEA2D6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D2B74A4"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726A08E"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051172" w14:paraId="311D049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5DD46CD"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4F1F3A6"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Count the number of brokerage packages provided to clients in the reporting period. Clients assisted in the reporting period can be counted more than once. If an individual is assisted with brokerage multiple t</w:t>
            </w:r>
            <w:r>
              <w:rPr>
                <w:rFonts w:ascii="Arial" w:eastAsia="Arial" w:hAnsi="Arial" w:cs="Arial"/>
                <w:color w:val="000000"/>
                <w:sz w:val="20"/>
              </w:rPr>
              <w:t>imes during the reporting period the brokerage package will be counted each time.</w:t>
            </w:r>
          </w:p>
        </w:tc>
      </w:tr>
      <w:tr w:rsidR="00051172" w14:paraId="447ED3E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145F42A"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3B4CAE5" w14:textId="77777777" w:rsidR="00051172" w:rsidRDefault="00A67502">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Service Delivery Tracking (SDT)</w:t>
            </w:r>
          </w:p>
          <w:p w14:paraId="39D892A7" w14:textId="77777777" w:rsidR="00051172" w:rsidRDefault="00A67502">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Sexual assault support brokerage year-to-date funding acquittal</w:t>
            </w:r>
          </w:p>
        </w:tc>
      </w:tr>
      <w:tr w:rsidR="00051172" w14:paraId="50FCC2E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09335F4"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A89BBF7"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 client is any person </w:t>
            </w:r>
            <w:r>
              <w:rPr>
                <w:rFonts w:ascii="Arial" w:eastAsia="Arial" w:hAnsi="Arial" w:cs="Arial"/>
                <w:color w:val="000000"/>
                <w:sz w:val="20"/>
              </w:rPr>
              <w:t>(including children and young people) who is experiencing or has been affected by sexual assault. This may include a non-offending parent or other support person who is deemed a client and also receiving support through a sexual assault support service.</w:t>
            </w:r>
            <w:r>
              <w:br/>
            </w:r>
          </w:p>
        </w:tc>
      </w:tr>
    </w:tbl>
    <w:p w14:paraId="0BCDFF66" w14:textId="77777777" w:rsidR="00051172" w:rsidRDefault="00A67502">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6: Brokerage expended in reporting period - SASB</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051172" w14:paraId="2939895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8CB999C"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5D0E04C"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aim of this performance measure is to record the total amount of brokerage that has been expended on individuals (including children and young people)</w:t>
            </w:r>
          </w:p>
        </w:tc>
      </w:tr>
      <w:tr w:rsidR="00051172" w14:paraId="5D34308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F57B91C"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3653879"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w:t>
            </w:r>
            <w:r>
              <w:rPr>
                <w:rFonts w:ascii="Arial" w:eastAsia="Arial" w:hAnsi="Arial" w:cs="Arial"/>
                <w:color w:val="000000"/>
                <w:sz w:val="20"/>
              </w:rPr>
              <w:t>rformance measure target is provided in the Service Agreement.</w:t>
            </w:r>
          </w:p>
        </w:tc>
      </w:tr>
      <w:tr w:rsidR="00051172" w14:paraId="1966AF1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635A7B2"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36F218B"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051172" w14:paraId="6FD36E6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3578D73"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0DA3FEF"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Calculate the total amount of sexual assault support brokerage that has been expended during the reporting period.</w:t>
            </w:r>
          </w:p>
        </w:tc>
      </w:tr>
      <w:tr w:rsidR="00051172" w14:paraId="2691F58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D3FDA5C"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5A8CD05" w14:textId="77777777" w:rsidR="00051172" w:rsidRDefault="00A67502">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Service Delivery Tracking (SDT)</w:t>
            </w:r>
          </w:p>
          <w:p w14:paraId="27CE0B3D" w14:textId="77777777" w:rsidR="00051172" w:rsidRDefault="00A67502">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Sexual assault support brokerage year-to-date funding acquittal</w:t>
            </w:r>
          </w:p>
        </w:tc>
      </w:tr>
      <w:tr w:rsidR="00051172" w14:paraId="61DFD85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884479B" w14:textId="77777777" w:rsidR="00051172" w:rsidRDefault="00A6750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5BBD4CF"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 client is any person (including children and young people) who is experiencing or has been affected by sexual assault. This may include a</w:t>
            </w:r>
            <w:r>
              <w:rPr>
                <w:rFonts w:ascii="Arial" w:eastAsia="Arial" w:hAnsi="Arial" w:cs="Arial"/>
                <w:color w:val="000000"/>
                <w:sz w:val="20"/>
              </w:rPr>
              <w:t xml:space="preserve"> non-offending parent or other support person who is deemed a client and also receiving support through a sexual assault support service.</w:t>
            </w:r>
            <w:r>
              <w:br/>
            </w:r>
            <w:r>
              <w:rPr>
                <w:rFonts w:ascii="Arial" w:eastAsia="Arial" w:hAnsi="Arial" w:cs="Arial"/>
                <w:color w:val="000000"/>
                <w:sz w:val="20"/>
              </w:rPr>
              <w:t xml:space="preserve">Funding that has been expnded includes all approved and committed brokerage funding, not just funding associated with </w:t>
            </w:r>
            <w:r>
              <w:rPr>
                <w:rFonts w:ascii="Arial" w:eastAsia="Arial" w:hAnsi="Arial" w:cs="Arial"/>
                <w:color w:val="000000"/>
                <w:sz w:val="20"/>
              </w:rPr>
              <w:t xml:space="preserve">finalised invoices. </w:t>
            </w:r>
          </w:p>
        </w:tc>
      </w:tr>
    </w:tbl>
    <w:p w14:paraId="637ABACC" w14:textId="77777777" w:rsidR="00051172" w:rsidRDefault="00A67502">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6. Data collection</w:t>
      </w:r>
    </w:p>
    <w:p w14:paraId="765D0B5C" w14:textId="77777777" w:rsidR="00051172" w:rsidRDefault="00A67502">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051172" w14:paraId="2CE89B6D"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A89ADCC" w14:textId="77777777" w:rsidR="00051172" w:rsidRDefault="00A67502">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EDD622C" w14:textId="77777777" w:rsidR="00051172" w:rsidRDefault="00A67502">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E0BFD83" w14:textId="77777777" w:rsidR="00051172" w:rsidRDefault="00A67502">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3D096807" w14:textId="77777777" w:rsidR="00051172" w:rsidRDefault="00A67502">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051172" w14:paraId="2C641E46"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29F77FD" w14:textId="77777777" w:rsidR="00051172" w:rsidRDefault="00A67502">
            <w:pPr>
              <w:spacing w:before="100" w:line="288" w:lineRule="auto"/>
              <w:ind w:left="108" w:right="108"/>
              <w:rPr>
                <w:rFonts w:ascii="Arial" w:eastAsia="Arial" w:hAnsi="Arial" w:cs="Arial"/>
                <w:color w:val="000000"/>
                <w:sz w:val="20"/>
              </w:rPr>
            </w:pPr>
            <w:r>
              <w:rPr>
                <w:rFonts w:ascii="Arial" w:eastAsia="Arial" w:hAnsi="Arial" w:cs="Arial"/>
                <w:color w:val="000000"/>
                <w:sz w:val="20"/>
              </w:rPr>
              <w:t>Service Delivery Tracking (SDT)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ACB2B7B" w14:textId="77777777" w:rsidR="00051172" w:rsidRDefault="00A67502">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My Agency/SAM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F4FF038" w14:textId="77777777" w:rsidR="00051172" w:rsidRDefault="00A67502">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SAMS2/Service delivery tracking data set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08BF426E" w14:textId="77777777" w:rsidR="00051172" w:rsidRDefault="00A67502">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r w:rsidR="00051172" w14:paraId="7B1FA0C7"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7EA32A2" w14:textId="77777777" w:rsidR="00051172" w:rsidRDefault="00A67502">
            <w:pPr>
              <w:spacing w:before="100" w:line="288" w:lineRule="auto"/>
              <w:ind w:left="108" w:right="108"/>
              <w:rPr>
                <w:rFonts w:ascii="Arial" w:eastAsia="Arial" w:hAnsi="Arial" w:cs="Arial"/>
                <w:color w:val="000000"/>
                <w:sz w:val="20"/>
              </w:rPr>
            </w:pPr>
            <w:r>
              <w:rPr>
                <w:rFonts w:ascii="Arial" w:eastAsia="Arial" w:hAnsi="Arial" w:cs="Arial"/>
                <w:color w:val="000000"/>
                <w:sz w:val="20"/>
              </w:rPr>
              <w:t>Family Violence Crisis Brokerage Data</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EA5241B" w14:textId="77777777" w:rsidR="00051172" w:rsidRDefault="00A67502">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Electronic Data System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066DC93" w14:textId="77777777" w:rsidR="00051172" w:rsidRDefault="00A67502">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Family violence acquittal data set provided to Family Safety Victoria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3528D928" w14:textId="77777777" w:rsidR="00051172" w:rsidRDefault="00A67502">
            <w:pPr>
              <w:spacing w:before="100" w:line="288" w:lineRule="auto"/>
              <w:ind w:left="108" w:right="108"/>
              <w:rPr>
                <w:rFonts w:ascii="Arial" w:eastAsia="Arial" w:hAnsi="Arial" w:cs="Arial"/>
                <w:color w:val="000000"/>
                <w:sz w:val="20"/>
              </w:rPr>
            </w:pPr>
            <w:r>
              <w:rPr>
                <w:rFonts w:ascii="Arial" w:eastAsia="Arial" w:hAnsi="Arial" w:cs="Arial"/>
                <w:color w:val="000000"/>
                <w:sz w:val="20"/>
              </w:rPr>
              <w:t>Quarterly</w:t>
            </w:r>
          </w:p>
        </w:tc>
      </w:tr>
      <w:tr w:rsidR="00051172" w14:paraId="160FF215"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767FCEA" w14:textId="77777777" w:rsidR="00051172" w:rsidRDefault="00A67502">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Sexual assault support brokerage year-to-date funding </w:t>
            </w:r>
            <w:r>
              <w:rPr>
                <w:rFonts w:ascii="Arial" w:eastAsia="Arial" w:hAnsi="Arial" w:cs="Arial"/>
                <w:color w:val="000000"/>
                <w:sz w:val="20"/>
              </w:rPr>
              <w:t>acquittal</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B5E51FC" w14:textId="77777777" w:rsidR="00051172" w:rsidRDefault="00A67502">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C7BF422" w14:textId="77777777" w:rsidR="00051172" w:rsidRDefault="00A67502">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Sexual assault support brokerage acquittal data set provided to Family Safety Victoria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2A51900C" w14:textId="77777777" w:rsidR="00051172" w:rsidRDefault="00A67502">
            <w:pPr>
              <w:spacing w:before="100" w:line="288" w:lineRule="auto"/>
              <w:ind w:left="108" w:right="108"/>
              <w:rPr>
                <w:rFonts w:ascii="Arial" w:eastAsia="Arial" w:hAnsi="Arial" w:cs="Arial"/>
                <w:color w:val="000000"/>
                <w:sz w:val="20"/>
              </w:rPr>
            </w:pPr>
            <w:r>
              <w:rPr>
                <w:rFonts w:ascii="Arial" w:eastAsia="Arial" w:hAnsi="Arial" w:cs="Arial"/>
                <w:color w:val="000000"/>
                <w:sz w:val="20"/>
              </w:rPr>
              <w:t>Quarterly</w:t>
            </w:r>
          </w:p>
        </w:tc>
      </w:tr>
      <w:tr w:rsidR="00051172" w14:paraId="1B31AA05"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CC6BB4F" w14:textId="77777777" w:rsidR="00051172" w:rsidRDefault="00A67502">
            <w:pPr>
              <w:spacing w:before="100" w:line="288" w:lineRule="auto"/>
              <w:ind w:left="108" w:right="108"/>
              <w:rPr>
                <w:rFonts w:ascii="Arial" w:eastAsia="Arial" w:hAnsi="Arial" w:cs="Arial"/>
                <w:color w:val="000000"/>
                <w:sz w:val="20"/>
              </w:rPr>
            </w:pPr>
            <w:r>
              <w:rPr>
                <w:rFonts w:ascii="Arial" w:eastAsia="Arial" w:hAnsi="Arial" w:cs="Arial"/>
                <w:color w:val="000000"/>
                <w:sz w:val="20"/>
              </w:rPr>
              <w:t>Family violence flexible support package year-to-date funding acquittal</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F0CC1EE" w14:textId="77777777" w:rsidR="00051172" w:rsidRDefault="00A67502">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Electronic Data System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778A798" w14:textId="77777777" w:rsidR="00051172" w:rsidRDefault="00A67502">
            <w:pPr>
              <w:spacing w:before="100" w:line="288" w:lineRule="auto"/>
              <w:ind w:left="108" w:right="108"/>
              <w:rPr>
                <w:rFonts w:ascii="Arial" w:eastAsia="Arial" w:hAnsi="Arial" w:cs="Arial"/>
                <w:color w:val="000000"/>
                <w:sz w:val="20"/>
              </w:rPr>
            </w:pPr>
            <w:r>
              <w:rPr>
                <w:rFonts w:ascii="Arial" w:eastAsia="Arial" w:hAnsi="Arial" w:cs="Arial"/>
                <w:color w:val="000000"/>
                <w:sz w:val="20"/>
              </w:rPr>
              <w:t>Flexible Support Packages O</w:t>
            </w:r>
            <w:r>
              <w:rPr>
                <w:rFonts w:ascii="Arial" w:eastAsia="Arial" w:hAnsi="Arial" w:cs="Arial"/>
                <w:color w:val="000000"/>
                <w:sz w:val="20"/>
              </w:rPr>
              <w:t xml:space="preserve">nline Portal provided to Department of Families, Fairness and Housing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4AC24DDB" w14:textId="77777777" w:rsidR="00051172" w:rsidRDefault="00A67502">
            <w:pPr>
              <w:spacing w:before="100" w:line="288" w:lineRule="auto"/>
              <w:ind w:left="108" w:right="108"/>
              <w:rPr>
                <w:rFonts w:ascii="Arial" w:eastAsia="Arial" w:hAnsi="Arial" w:cs="Arial"/>
                <w:color w:val="000000"/>
                <w:sz w:val="20"/>
              </w:rPr>
            </w:pPr>
            <w:r>
              <w:rPr>
                <w:rFonts w:ascii="Arial" w:eastAsia="Arial" w:hAnsi="Arial" w:cs="Arial"/>
                <w:color w:val="000000"/>
                <w:sz w:val="20"/>
              </w:rPr>
              <w:t>Quarterly</w:t>
            </w:r>
          </w:p>
        </w:tc>
      </w:tr>
    </w:tbl>
    <w:p w14:paraId="5B544507" w14:textId="77777777" w:rsidR="00051172" w:rsidRDefault="00051172">
      <w:pPr>
        <w:spacing w:before="100" w:line="288" w:lineRule="auto"/>
        <w:ind w:left="111" w:right="105"/>
        <w:rPr>
          <w:rFonts w:ascii="Arial" w:eastAsia="Arial" w:hAnsi="Arial" w:cs="Arial"/>
          <w:color w:val="000000"/>
          <w:sz w:val="18"/>
        </w:rPr>
      </w:pPr>
    </w:p>
    <w:tbl>
      <w:tblPr>
        <w:tblW w:w="0" w:type="auto"/>
        <w:tblInd w:w="111" w:type="dxa"/>
        <w:tblLayout w:type="fixed"/>
        <w:tblCellMar>
          <w:left w:w="0" w:type="dxa"/>
          <w:right w:w="0" w:type="dxa"/>
        </w:tblCellMar>
        <w:tblLook w:val="04A0" w:firstRow="1" w:lastRow="0" w:firstColumn="1" w:lastColumn="0" w:noHBand="0" w:noVBand="1"/>
      </w:tblPr>
      <w:tblGrid>
        <w:gridCol w:w="10204"/>
      </w:tblGrid>
      <w:tr w:rsidR="00051172" w14:paraId="033F124A" w14:textId="77777777">
        <w:trPr>
          <w:cantSplit/>
        </w:trPr>
        <w:tc>
          <w:tcPr>
            <w:tcW w:w="1020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AE8F4C2" w14:textId="77777777" w:rsidR="00051172" w:rsidRDefault="00A67502">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t xml:space="preserve">To receive this publication in an accessible format, email </w:t>
            </w:r>
            <w:r>
              <w:rPr>
                <w:rFonts w:ascii="Arial" w:eastAsia="Arial" w:hAnsi="Arial" w:cs="Arial"/>
                <w:color w:val="3366FF"/>
                <w:sz w:val="24"/>
              </w:rPr>
              <w:t xml:space="preserve">Monitoring Framework Helpdesk </w:t>
            </w:r>
            <w:r>
              <w:rPr>
                <w:rFonts w:ascii="Arial" w:eastAsia="Arial" w:hAnsi="Arial" w:cs="Arial"/>
                <w:color w:val="3366FF"/>
                <w:sz w:val="24"/>
              </w:rPr>
              <w:t>&lt;monitoringframework.helpdesk@dffh.vic.gov.au&gt;</w:t>
            </w:r>
          </w:p>
          <w:p w14:paraId="6602A0CC" w14:textId="77777777" w:rsidR="00051172" w:rsidRDefault="00A67502">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Authorised and published by the Victorian Government, 1 Treasury Place, Melbourne.</w:t>
            </w:r>
          </w:p>
          <w:p w14:paraId="0DDFA8A6" w14:textId="77777777" w:rsidR="00051172" w:rsidRDefault="00A67502">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 State of Victoria, Australia, Department of Families, Fairness and Housing, November 2022. </w:t>
            </w:r>
          </w:p>
          <w:p w14:paraId="5855A96B" w14:textId="77777777" w:rsidR="00051172" w:rsidRDefault="00A67502">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w:t>
            </w:r>
            <w:r>
              <w:rPr>
                <w:rFonts w:ascii="Arial" w:eastAsia="Arial" w:hAnsi="Arial" w:cs="Arial"/>
                <w:color w:val="000000"/>
                <w:sz w:val="16"/>
              </w:rPr>
              <w:t>efers to both Aboriginal and Torres Strait Islander people. ‘Indigenous’ or ‘Koori/Koorie' is retained when part of the title of a report, program or quotation.</w:t>
            </w:r>
          </w:p>
          <w:p w14:paraId="695141CA" w14:textId="77777777" w:rsidR="00051172" w:rsidRDefault="00A67502">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2653-0929 – Online (PDF/Word)</w:t>
            </w:r>
          </w:p>
          <w:p w14:paraId="6D55CD01" w14:textId="77777777" w:rsidR="00051172" w:rsidRDefault="00A6750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Department of Families, Fairness and Housing an</w:t>
            </w:r>
            <w:r>
              <w:rPr>
                <w:rFonts w:ascii="Arial" w:eastAsia="Arial" w:hAnsi="Arial" w:cs="Arial"/>
                <w:color w:val="3366FF"/>
                <w:sz w:val="20"/>
              </w:rPr>
              <w:t xml:space="preserve">d Department of Health </w:t>
            </w:r>
            <w:r>
              <w:rPr>
                <w:rFonts w:ascii="Arial" w:eastAsia="Arial" w:hAnsi="Arial" w:cs="Arial"/>
                <w:color w:val="000000"/>
                <w:sz w:val="20"/>
              </w:rPr>
              <w:t>activity search</w:t>
            </w:r>
          </w:p>
          <w:p w14:paraId="0FA68B6A" w14:textId="77777777" w:rsidR="00051172" w:rsidRDefault="00A67502">
            <w:pPr>
              <w:keepLines/>
              <w:spacing w:before="100" w:line="288" w:lineRule="auto"/>
              <w:ind w:left="108" w:right="108"/>
              <w:rPr>
                <w:rFonts w:ascii="Arial" w:eastAsia="Arial" w:hAnsi="Arial" w:cs="Arial"/>
                <w:color w:val="000000"/>
                <w:sz w:val="20"/>
              </w:rPr>
            </w:pPr>
            <w:hyperlink r:id="rId14" w:tgtFrame="_blank" w:history="1">
              <w:r>
                <w:rPr>
                  <w:rFonts w:ascii="Arial" w:eastAsia="Arial" w:hAnsi="Arial" w:cs="Arial"/>
                  <w:color w:val="3366FF"/>
                  <w:sz w:val="20"/>
                </w:rPr>
                <w:t>&lt;http://providers.dffh.vic.gov.au/families-fairness-housing-health-activity-search</w:t>
              </w:r>
            </w:hyperlink>
            <w:r>
              <w:rPr>
                <w:rFonts w:ascii="Arial" w:eastAsia="Arial" w:hAnsi="Arial" w:cs="Arial"/>
                <w:color w:val="000000"/>
                <w:sz w:val="20"/>
              </w:rPr>
              <w:t>&gt;</w:t>
            </w:r>
          </w:p>
        </w:tc>
      </w:tr>
    </w:tbl>
    <w:p w14:paraId="25AD5DE0" w14:textId="77777777" w:rsidR="00051172" w:rsidRDefault="00051172">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051172">
      <w:headerReference w:type="even" r:id="rId15"/>
      <w:headerReference w:type="default" r:id="rId16"/>
      <w:footerReference w:type="even" r:id="rId17"/>
      <w:footerReference w:type="default" r:id="rId18"/>
      <w:headerReference w:type="first" r:id="rId19"/>
      <w:footerReference w:type="first" r:id="rId20"/>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FF7DB" w14:textId="77777777" w:rsidR="00000000" w:rsidRDefault="00A67502">
      <w:r>
        <w:separator/>
      </w:r>
    </w:p>
  </w:endnote>
  <w:endnote w:type="continuationSeparator" w:id="0">
    <w:p w14:paraId="527CBAE3" w14:textId="77777777" w:rsidR="00000000" w:rsidRDefault="00A6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DB36" w14:textId="77777777" w:rsidR="00A67502" w:rsidRDefault="00A67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E38BC" w14:textId="56C8EA0D" w:rsidR="00051172" w:rsidRDefault="00A67502">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74C7E0C4" wp14:editId="6196535D">
              <wp:simplePos x="0" y="0"/>
              <wp:positionH relativeFrom="page">
                <wp:posOffset>0</wp:posOffset>
              </wp:positionH>
              <wp:positionV relativeFrom="page">
                <wp:posOffset>10177780</wp:posOffset>
              </wp:positionV>
              <wp:extent cx="7556500" cy="311785"/>
              <wp:effectExtent l="0" t="0" r="0" b="12065"/>
              <wp:wrapNone/>
              <wp:docPr id="4" name="MSIPCMc48a4ab68f6248e92d687aac"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82BAD1" w14:textId="08013DC0" w:rsidR="00A67502" w:rsidRPr="00A67502" w:rsidRDefault="00A67502" w:rsidP="00A67502">
                          <w:pPr>
                            <w:jc w:val="center"/>
                            <w:rPr>
                              <w:rFonts w:ascii="Arial Black" w:hAnsi="Arial Black"/>
                              <w:color w:val="000000"/>
                              <w:sz w:val="20"/>
                            </w:rPr>
                          </w:pPr>
                          <w:r w:rsidRPr="00A6750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C7E0C4" id="_x0000_t202" coordsize="21600,21600" o:spt="202" path="m,l,21600r21600,l21600,xe">
              <v:stroke joinstyle="miter"/>
              <v:path gradientshapeok="t" o:connecttype="rect"/>
            </v:shapetype>
            <v:shape id="MSIPCMc48a4ab68f6248e92d687aac"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" o:allowincell="f" filled="f" stroked="f" strokeweight=".5pt">
              <v:fill o:detectmouseclick="t"/>
              <v:textbox inset=",0,,0">
                <w:txbxContent>
                  <w:p w14:paraId="2E82BAD1" w14:textId="08013DC0" w:rsidR="00A67502" w:rsidRPr="00A67502" w:rsidRDefault="00A67502" w:rsidP="00A67502">
                    <w:pPr>
                      <w:jc w:val="center"/>
                      <w:rPr>
                        <w:rFonts w:ascii="Arial Black" w:hAnsi="Arial Black"/>
                        <w:color w:val="000000"/>
                        <w:sz w:val="20"/>
                      </w:rPr>
                    </w:pPr>
                    <w:r w:rsidRPr="00A67502">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692"/>
    </w:tblGrid>
    <w:tr w:rsidR="00051172" w14:paraId="6C329042" w14:textId="77777777">
      <w:tc>
        <w:tcPr>
          <w:tcW w:w="3473" w:type="dxa"/>
          <w:shd w:val="clear" w:color="auto" w:fill="FFFFFF"/>
        </w:tcPr>
        <w:p w14:paraId="6E636002" w14:textId="77777777" w:rsidR="00051172" w:rsidRDefault="00051172">
          <w:pPr>
            <w:ind w:left="108" w:right="108"/>
          </w:pPr>
        </w:p>
      </w:tc>
      <w:tc>
        <w:tcPr>
          <w:tcW w:w="3473" w:type="dxa"/>
          <w:shd w:val="clear" w:color="auto" w:fill="FFFFFF"/>
          <w:vAlign w:val="bottom"/>
        </w:tcPr>
        <w:p w14:paraId="75671327" w14:textId="77777777" w:rsidR="00051172" w:rsidRDefault="00A67502">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692" w:type="dxa"/>
          <w:shd w:val="clear" w:color="auto" w:fill="FFFFFF"/>
        </w:tcPr>
        <w:p w14:paraId="0E56A4B3" w14:textId="77777777" w:rsidR="00051172" w:rsidRDefault="00A67502">
          <w:pPr>
            <w:tabs>
              <w:tab w:val="right" w:pos="10314"/>
            </w:tabs>
            <w:spacing w:before="240"/>
            <w:ind w:left="108"/>
            <w:jc w:val="center"/>
            <w:rPr>
              <w:rFonts w:ascii="Arial" w:eastAsia="Arial" w:hAnsi="Arial" w:cs="Arial"/>
              <w:color w:val="000000"/>
              <w:sz w:val="18"/>
            </w:rPr>
          </w:pPr>
          <w:r>
            <w:rPr>
              <w:rFonts w:ascii="Arial" w:eastAsia="Arial" w:hAnsi="Arial" w:cs="Arial"/>
              <w:color w:val="000000"/>
              <w:sz w:val="18"/>
            </w:rPr>
            <w:t xml:space="preserve">             </w:t>
          </w:r>
        </w:p>
        <w:p w14:paraId="2CF91F4D" w14:textId="77777777" w:rsidR="00051172" w:rsidRDefault="00A67502">
          <w:pPr>
            <w:tabs>
              <w:tab w:val="right" w:pos="10314"/>
            </w:tabs>
            <w:spacing w:before="240"/>
            <w:ind w:left="108"/>
            <w:jc w:val="center"/>
          </w:pPr>
          <w:r>
            <w:rPr>
              <w:noProof/>
            </w:rPr>
            <w:drawing>
              <wp:inline distT="0" distB="0" distL="0" distR="0" wp14:anchorId="2975CFBD" wp14:editId="27AF5AA1">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6AD51229" w14:textId="77777777" w:rsidR="00051172" w:rsidRDefault="00051172">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3"/>
    </w:tblGrid>
    <w:tr w:rsidR="00051172" w14:paraId="0335FF28" w14:textId="77777777">
      <w:tc>
        <w:tcPr>
          <w:tcW w:w="3473" w:type="dxa"/>
          <w:shd w:val="clear" w:color="auto" w:fill="FFFFFF"/>
        </w:tcPr>
        <w:p w14:paraId="3D7732D3" w14:textId="78F7CE45" w:rsidR="00051172" w:rsidRDefault="00A67502">
          <w:pPr>
            <w:ind w:left="108" w:right="108"/>
          </w:pPr>
          <w:r>
            <w:rPr>
              <w:noProof/>
            </w:rPr>
            <mc:AlternateContent>
              <mc:Choice Requires="wps">
                <w:drawing>
                  <wp:anchor distT="0" distB="0" distL="114300" distR="114300" simplePos="0" relativeHeight="251660288" behindDoc="0" locked="0" layoutInCell="0" allowOverlap="1" wp14:anchorId="55B13403" wp14:editId="5BBB3780">
                    <wp:simplePos x="0" y="0"/>
                    <wp:positionH relativeFrom="page">
                      <wp:posOffset>0</wp:posOffset>
                    </wp:positionH>
                    <wp:positionV relativeFrom="page">
                      <wp:posOffset>10177780</wp:posOffset>
                    </wp:positionV>
                    <wp:extent cx="7556500" cy="311785"/>
                    <wp:effectExtent l="0" t="0" r="0" b="12065"/>
                    <wp:wrapNone/>
                    <wp:docPr id="5" name="MSIPCM51514fabb81f21094679dc0d"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FAA217" w14:textId="67093760" w:rsidR="00A67502" w:rsidRPr="00A67502" w:rsidRDefault="00A67502" w:rsidP="00A67502">
                                <w:pPr>
                                  <w:jc w:val="center"/>
                                  <w:rPr>
                                    <w:rFonts w:ascii="Arial Black" w:hAnsi="Arial Black"/>
                                    <w:color w:val="000000"/>
                                    <w:sz w:val="20"/>
                                  </w:rPr>
                                </w:pPr>
                                <w:r w:rsidRPr="00A6750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B13403" id="_x0000_t202" coordsize="21600,21600" o:spt="202" path="m,l,21600r21600,l21600,xe">
                    <v:stroke joinstyle="miter"/>
                    <v:path gradientshapeok="t" o:connecttype="rect"/>
                  </v:shapetype>
                  <v:shape id="MSIPCM51514fabb81f21094679dc0d"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" o:allowincell="f" filled="f" stroked="f" strokeweight=".5pt">
                    <v:fill o:detectmouseclick="t"/>
                    <v:textbox inset=",0,,0">
                      <w:txbxContent>
                        <w:p w14:paraId="10FAA217" w14:textId="67093760" w:rsidR="00A67502" w:rsidRPr="00A67502" w:rsidRDefault="00A67502" w:rsidP="00A67502">
                          <w:pPr>
                            <w:jc w:val="center"/>
                            <w:rPr>
                              <w:rFonts w:ascii="Arial Black" w:hAnsi="Arial Black"/>
                              <w:color w:val="000000"/>
                              <w:sz w:val="20"/>
                            </w:rPr>
                          </w:pPr>
                          <w:r w:rsidRPr="00A67502">
                            <w:rPr>
                              <w:rFonts w:ascii="Arial Black" w:hAnsi="Arial Black"/>
                              <w:color w:val="000000"/>
                              <w:sz w:val="20"/>
                            </w:rPr>
                            <w:t>OFFICIAL</w:t>
                          </w:r>
                        </w:p>
                      </w:txbxContent>
                    </v:textbox>
                    <w10:wrap anchorx="page" anchory="page"/>
                  </v:shape>
                </w:pict>
              </mc:Fallback>
            </mc:AlternateContent>
          </w:r>
        </w:p>
      </w:tc>
      <w:tc>
        <w:tcPr>
          <w:tcW w:w="3473" w:type="dxa"/>
          <w:shd w:val="clear" w:color="auto" w:fill="FFFFFF"/>
          <w:vAlign w:val="bottom"/>
        </w:tcPr>
        <w:p w14:paraId="20E58BA4" w14:textId="77777777" w:rsidR="00051172" w:rsidRDefault="00A67502">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3" w:type="dxa"/>
          <w:shd w:val="clear" w:color="auto" w:fill="FFFFFF"/>
        </w:tcPr>
        <w:p w14:paraId="212AD4E4" w14:textId="77777777" w:rsidR="00051172" w:rsidRDefault="00A67502">
          <w:pPr>
            <w:tabs>
              <w:tab w:val="right" w:pos="10314"/>
            </w:tabs>
            <w:spacing w:before="240"/>
            <w:ind w:left="108"/>
            <w:jc w:val="center"/>
          </w:pPr>
          <w:r>
            <w:rPr>
              <w:noProof/>
            </w:rPr>
            <w:drawing>
              <wp:inline distT="0" distB="0" distL="0" distR="0" wp14:anchorId="0D34AB95" wp14:editId="38A7257B">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498A4A38" w14:textId="77777777" w:rsidR="00051172" w:rsidRDefault="00A67502">
    <w:pPr>
      <w:tabs>
        <w:tab w:val="right" w:pos="10314"/>
      </w:tabs>
      <w:spacing w:before="240"/>
      <w:ind w:left="111" w:right="105"/>
      <w:rPr>
        <w:rFonts w:ascii="Arial" w:eastAsia="Arial" w:hAnsi="Arial" w:cs="Arial"/>
        <w:color w:val="000000"/>
        <w:sz w:val="18"/>
      </w:rPr>
    </w:pPr>
    <w:r>
      <w:rPr>
        <w:rFonts w:ascii="Arial" w:eastAsia="Arial" w:hAnsi="Arial" w:cs="Arial"/>
        <w:color w:val="00000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A0371" w14:textId="77777777" w:rsidR="00000000" w:rsidRDefault="00A67502">
      <w:r>
        <w:separator/>
      </w:r>
    </w:p>
  </w:footnote>
  <w:footnote w:type="continuationSeparator" w:id="0">
    <w:p w14:paraId="1A8DFD9F" w14:textId="77777777" w:rsidR="00000000" w:rsidRDefault="00A67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C5172" w14:textId="77777777" w:rsidR="00A67502" w:rsidRDefault="00A675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714B" w14:textId="77777777" w:rsidR="00051172" w:rsidRDefault="00A67502">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Family Violence Service Delivery 38026 Flexible Funding Family Violence and Sexual Assault</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0148F675" w14:textId="77777777" w:rsidR="00051172" w:rsidRDefault="00051172">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9093" w14:textId="77777777" w:rsidR="00051172" w:rsidRDefault="00051172">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305A"/>
    <w:multiLevelType w:val="hybridMultilevel"/>
    <w:tmpl w:val="3AB23CA0"/>
    <w:lvl w:ilvl="0" w:tplc="4D22A94A">
      <w:start w:val="1"/>
      <w:numFmt w:val="decimal"/>
      <w:lvlText w:val="%1."/>
      <w:lvlJc w:val="left"/>
      <w:pPr>
        <w:ind w:left="828" w:hanging="360"/>
      </w:pPr>
      <w:rPr>
        <w:rFonts w:ascii="Calibri" w:eastAsia="Calibri" w:hAnsi="Calibri" w:cs="Calibri" w:hint="default"/>
        <w:color w:val="000000"/>
        <w:sz w:val="24"/>
      </w:rPr>
    </w:lvl>
    <w:lvl w:ilvl="1" w:tplc="03D68A8C">
      <w:start w:val="1"/>
      <w:numFmt w:val="lowerLetter"/>
      <w:lvlText w:val="%2."/>
      <w:lvlJc w:val="left"/>
      <w:pPr>
        <w:ind w:left="1548" w:hanging="360"/>
      </w:pPr>
      <w:rPr>
        <w:rFonts w:ascii="Calibri" w:eastAsia="Calibri" w:hAnsi="Calibri" w:cs="Calibri" w:hint="default"/>
        <w:color w:val="000000"/>
        <w:sz w:val="24"/>
      </w:rPr>
    </w:lvl>
    <w:lvl w:ilvl="2" w:tplc="87D805A2">
      <w:start w:val="1"/>
      <w:numFmt w:val="lowerRoman"/>
      <w:lvlText w:val="%3."/>
      <w:lvlJc w:val="right"/>
      <w:pPr>
        <w:ind w:left="2268" w:hanging="180"/>
      </w:pPr>
      <w:rPr>
        <w:rFonts w:ascii="Calibri" w:eastAsia="Calibri" w:hAnsi="Calibri" w:cs="Calibri" w:hint="default"/>
        <w:color w:val="000000"/>
        <w:sz w:val="24"/>
      </w:rPr>
    </w:lvl>
    <w:lvl w:ilvl="3" w:tplc="6C36D8AE">
      <w:start w:val="1"/>
      <w:numFmt w:val="decimal"/>
      <w:lvlText w:val="%4."/>
      <w:lvlJc w:val="left"/>
      <w:pPr>
        <w:ind w:left="2988" w:hanging="360"/>
      </w:pPr>
      <w:rPr>
        <w:rFonts w:ascii="Calibri" w:eastAsia="Calibri" w:hAnsi="Calibri" w:cs="Calibri" w:hint="default"/>
        <w:color w:val="000000"/>
        <w:sz w:val="24"/>
      </w:rPr>
    </w:lvl>
    <w:lvl w:ilvl="4" w:tplc="1BF84492">
      <w:start w:val="1"/>
      <w:numFmt w:val="lowerLetter"/>
      <w:lvlText w:val="%5."/>
      <w:lvlJc w:val="left"/>
      <w:pPr>
        <w:ind w:left="3708" w:hanging="360"/>
      </w:pPr>
      <w:rPr>
        <w:rFonts w:ascii="Calibri" w:eastAsia="Calibri" w:hAnsi="Calibri" w:cs="Calibri" w:hint="default"/>
        <w:color w:val="000000"/>
        <w:sz w:val="24"/>
      </w:rPr>
    </w:lvl>
    <w:lvl w:ilvl="5" w:tplc="25DEFED2">
      <w:start w:val="1"/>
      <w:numFmt w:val="lowerRoman"/>
      <w:lvlText w:val="%6."/>
      <w:lvlJc w:val="right"/>
      <w:pPr>
        <w:ind w:left="4428" w:hanging="180"/>
      </w:pPr>
      <w:rPr>
        <w:rFonts w:ascii="Calibri" w:eastAsia="Calibri" w:hAnsi="Calibri" w:cs="Calibri" w:hint="default"/>
        <w:color w:val="000000"/>
        <w:sz w:val="24"/>
      </w:rPr>
    </w:lvl>
    <w:lvl w:ilvl="6" w:tplc="80689D16">
      <w:start w:val="1"/>
      <w:numFmt w:val="decimal"/>
      <w:lvlText w:val="%7."/>
      <w:lvlJc w:val="left"/>
      <w:pPr>
        <w:ind w:left="5148" w:hanging="360"/>
      </w:pPr>
      <w:rPr>
        <w:rFonts w:ascii="Calibri" w:eastAsia="Calibri" w:hAnsi="Calibri" w:cs="Calibri" w:hint="default"/>
        <w:color w:val="000000"/>
        <w:sz w:val="24"/>
      </w:rPr>
    </w:lvl>
    <w:lvl w:ilvl="7" w:tplc="CE10ED7E">
      <w:start w:val="1"/>
      <w:numFmt w:val="lowerLetter"/>
      <w:lvlText w:val="%8."/>
      <w:lvlJc w:val="left"/>
      <w:pPr>
        <w:ind w:left="5868" w:hanging="360"/>
      </w:pPr>
      <w:rPr>
        <w:rFonts w:ascii="Calibri" w:eastAsia="Calibri" w:hAnsi="Calibri" w:cs="Calibri" w:hint="default"/>
        <w:color w:val="000000"/>
        <w:sz w:val="24"/>
      </w:rPr>
    </w:lvl>
    <w:lvl w:ilvl="8" w:tplc="B54814E8">
      <w:start w:val="1"/>
      <w:numFmt w:val="lowerRoman"/>
      <w:lvlText w:val="%9."/>
      <w:lvlJc w:val="right"/>
      <w:pPr>
        <w:ind w:left="6588" w:hanging="180"/>
      </w:pPr>
      <w:rPr>
        <w:rFonts w:ascii="Calibri" w:eastAsia="Calibri" w:hAnsi="Calibri" w:cs="Calibri" w:hint="default"/>
        <w:color w:val="000000"/>
        <w:sz w:val="24"/>
      </w:rPr>
    </w:lvl>
  </w:abstractNum>
  <w:abstractNum w:abstractNumId="1" w15:restartNumberingAfterBreak="0">
    <w:nsid w:val="122C4413"/>
    <w:multiLevelType w:val="hybridMultilevel"/>
    <w:tmpl w:val="7B7CBE56"/>
    <w:lvl w:ilvl="0" w:tplc="9A3EA180">
      <w:start w:val="1"/>
      <w:numFmt w:val="bullet"/>
      <w:lvlText w:val=""/>
      <w:lvlJc w:val="left"/>
      <w:pPr>
        <w:ind w:left="468" w:hanging="360"/>
      </w:pPr>
      <w:rPr>
        <w:rFonts w:ascii="Symbol" w:eastAsia="Symbol" w:hAnsi="Symbol" w:cs="Symbol" w:hint="default"/>
        <w:color w:val="000000"/>
        <w:sz w:val="24"/>
      </w:rPr>
    </w:lvl>
    <w:lvl w:ilvl="1" w:tplc="1F0EA604">
      <w:start w:val="1"/>
      <w:numFmt w:val="bullet"/>
      <w:lvlText w:val="o"/>
      <w:lvlJc w:val="left"/>
      <w:pPr>
        <w:ind w:left="1188" w:hanging="360"/>
      </w:pPr>
      <w:rPr>
        <w:rFonts w:ascii="Courier New" w:eastAsia="Courier New" w:hAnsi="Courier New" w:cs="Courier New" w:hint="default"/>
        <w:color w:val="000000"/>
        <w:sz w:val="24"/>
      </w:rPr>
    </w:lvl>
    <w:lvl w:ilvl="2" w:tplc="72E8A6DE">
      <w:start w:val="1"/>
      <w:numFmt w:val="bullet"/>
      <w:lvlText w:val=""/>
      <w:lvlJc w:val="left"/>
      <w:pPr>
        <w:ind w:left="1908" w:hanging="360"/>
      </w:pPr>
      <w:rPr>
        <w:rFonts w:ascii="Wingdings" w:eastAsia="Wingdings" w:hAnsi="Wingdings" w:cs="Wingdings" w:hint="default"/>
        <w:color w:val="000000"/>
        <w:sz w:val="24"/>
      </w:rPr>
    </w:lvl>
    <w:lvl w:ilvl="3" w:tplc="14F66524">
      <w:start w:val="1"/>
      <w:numFmt w:val="bullet"/>
      <w:lvlText w:val=""/>
      <w:lvlJc w:val="left"/>
      <w:pPr>
        <w:ind w:left="2628" w:hanging="360"/>
      </w:pPr>
      <w:rPr>
        <w:rFonts w:ascii="Symbol" w:eastAsia="Symbol" w:hAnsi="Symbol" w:cs="Symbol" w:hint="default"/>
        <w:color w:val="000000"/>
        <w:sz w:val="24"/>
      </w:rPr>
    </w:lvl>
    <w:lvl w:ilvl="4" w:tplc="B36E097C">
      <w:start w:val="1"/>
      <w:numFmt w:val="bullet"/>
      <w:lvlText w:val="o"/>
      <w:lvlJc w:val="left"/>
      <w:pPr>
        <w:ind w:left="3348" w:hanging="360"/>
      </w:pPr>
      <w:rPr>
        <w:rFonts w:ascii="Courier New" w:eastAsia="Courier New" w:hAnsi="Courier New" w:cs="Courier New" w:hint="default"/>
        <w:color w:val="000000"/>
        <w:sz w:val="24"/>
      </w:rPr>
    </w:lvl>
    <w:lvl w:ilvl="5" w:tplc="5714000A">
      <w:start w:val="1"/>
      <w:numFmt w:val="bullet"/>
      <w:lvlText w:val=""/>
      <w:lvlJc w:val="left"/>
      <w:pPr>
        <w:ind w:left="4068" w:hanging="360"/>
      </w:pPr>
      <w:rPr>
        <w:rFonts w:ascii="Wingdings" w:eastAsia="Wingdings" w:hAnsi="Wingdings" w:cs="Wingdings" w:hint="default"/>
        <w:color w:val="000000"/>
        <w:sz w:val="24"/>
      </w:rPr>
    </w:lvl>
    <w:lvl w:ilvl="6" w:tplc="F73C7E0A">
      <w:start w:val="1"/>
      <w:numFmt w:val="bullet"/>
      <w:lvlText w:val=""/>
      <w:lvlJc w:val="left"/>
      <w:pPr>
        <w:ind w:left="4788" w:hanging="360"/>
      </w:pPr>
      <w:rPr>
        <w:rFonts w:ascii="Symbol" w:eastAsia="Symbol" w:hAnsi="Symbol" w:cs="Symbol" w:hint="default"/>
        <w:color w:val="000000"/>
        <w:sz w:val="24"/>
      </w:rPr>
    </w:lvl>
    <w:lvl w:ilvl="7" w:tplc="CA363350">
      <w:start w:val="1"/>
      <w:numFmt w:val="bullet"/>
      <w:lvlText w:val="o"/>
      <w:lvlJc w:val="left"/>
      <w:pPr>
        <w:ind w:left="5508" w:hanging="360"/>
      </w:pPr>
      <w:rPr>
        <w:rFonts w:ascii="Courier New" w:eastAsia="Courier New" w:hAnsi="Courier New" w:cs="Courier New" w:hint="default"/>
        <w:color w:val="000000"/>
        <w:sz w:val="24"/>
      </w:rPr>
    </w:lvl>
    <w:lvl w:ilvl="8" w:tplc="092669F6">
      <w:start w:val="1"/>
      <w:numFmt w:val="bullet"/>
      <w:lvlText w:val=""/>
      <w:lvlJc w:val="left"/>
      <w:pPr>
        <w:ind w:left="6228" w:hanging="360"/>
      </w:pPr>
      <w:rPr>
        <w:rFonts w:ascii="Wingdings" w:eastAsia="Wingdings" w:hAnsi="Wingdings" w:cs="Wingdings" w:hint="default"/>
        <w:color w:val="000000"/>
        <w:sz w:val="24"/>
      </w:rPr>
    </w:lvl>
  </w:abstractNum>
  <w:abstractNum w:abstractNumId="2" w15:restartNumberingAfterBreak="0">
    <w:nsid w:val="13572FB8"/>
    <w:multiLevelType w:val="hybridMultilevel"/>
    <w:tmpl w:val="9E7C9710"/>
    <w:lvl w:ilvl="0" w:tplc="CC661470">
      <w:start w:val="1"/>
      <w:numFmt w:val="bullet"/>
      <w:lvlText w:val=""/>
      <w:lvlJc w:val="left"/>
      <w:pPr>
        <w:ind w:left="392" w:hanging="284"/>
      </w:pPr>
      <w:rPr>
        <w:rFonts w:ascii="Symbol" w:eastAsia="Symbol" w:hAnsi="Symbol" w:cs="Symbol" w:hint="default"/>
        <w:color w:val="000000"/>
        <w:sz w:val="24"/>
      </w:rPr>
    </w:lvl>
    <w:lvl w:ilvl="1" w:tplc="4FBC7302">
      <w:start w:val="1"/>
      <w:numFmt w:val="bullet"/>
      <w:lvlText w:val=""/>
      <w:lvlJc w:val="left"/>
      <w:pPr>
        <w:ind w:left="392" w:hanging="284"/>
      </w:pPr>
      <w:rPr>
        <w:rFonts w:ascii="Symbol" w:eastAsia="Symbol" w:hAnsi="Symbol" w:cs="Symbol" w:hint="default"/>
        <w:color w:val="000000"/>
        <w:sz w:val="24"/>
      </w:rPr>
    </w:lvl>
    <w:lvl w:ilvl="2" w:tplc="B5D2D3B2">
      <w:start w:val="1"/>
      <w:numFmt w:val="bullet"/>
      <w:lvlText w:val="–"/>
      <w:lvlJc w:val="left"/>
      <w:pPr>
        <w:ind w:left="675" w:hanging="283"/>
      </w:pPr>
      <w:rPr>
        <w:rFonts w:ascii="Calibri" w:eastAsia="Calibri" w:hAnsi="Calibri" w:cs="Calibri" w:hint="default"/>
        <w:color w:val="000000"/>
        <w:sz w:val="24"/>
      </w:rPr>
    </w:lvl>
    <w:lvl w:ilvl="3" w:tplc="0088C864">
      <w:start w:val="1"/>
      <w:numFmt w:val="bullet"/>
      <w:lvlText w:val="–"/>
      <w:lvlJc w:val="left"/>
      <w:pPr>
        <w:ind w:left="675" w:hanging="283"/>
      </w:pPr>
      <w:rPr>
        <w:rFonts w:ascii="Calibri" w:eastAsia="Calibri" w:hAnsi="Calibri" w:cs="Calibri" w:hint="default"/>
        <w:color w:val="000000"/>
        <w:sz w:val="24"/>
      </w:rPr>
    </w:lvl>
    <w:lvl w:ilvl="4" w:tplc="3EBAB2FC">
      <w:start w:val="1"/>
      <w:numFmt w:val="bullet"/>
      <w:lvlText w:val=""/>
      <w:lvlJc w:val="left"/>
      <w:pPr>
        <w:ind w:left="788" w:hanging="283"/>
      </w:pPr>
      <w:rPr>
        <w:rFonts w:ascii="Symbol" w:eastAsia="Symbol" w:hAnsi="Symbol" w:cs="Symbol" w:hint="default"/>
        <w:color w:val="000000"/>
        <w:sz w:val="24"/>
      </w:rPr>
    </w:lvl>
    <w:lvl w:ilvl="5" w:tplc="EBE2027E">
      <w:start w:val="1"/>
      <w:numFmt w:val="bullet"/>
      <w:lvlText w:val=""/>
      <w:lvlJc w:val="left"/>
      <w:pPr>
        <w:ind w:left="788" w:hanging="283"/>
      </w:pPr>
      <w:rPr>
        <w:rFonts w:ascii="Symbol" w:eastAsia="Symbol" w:hAnsi="Symbol" w:cs="Symbol" w:hint="default"/>
        <w:color w:val="000000"/>
        <w:sz w:val="24"/>
      </w:rPr>
    </w:lvl>
    <w:lvl w:ilvl="6" w:tplc="087AABD2">
      <w:start w:val="1"/>
      <w:numFmt w:val="bullet"/>
      <w:lvlText w:val=""/>
      <w:lvlJc w:val="left"/>
      <w:pPr>
        <w:ind w:left="335" w:hanging="227"/>
      </w:pPr>
      <w:rPr>
        <w:rFonts w:ascii="Symbol" w:eastAsia="Symbol" w:hAnsi="Symbol" w:cs="Symbol" w:hint="default"/>
        <w:color w:val="000000"/>
        <w:sz w:val="24"/>
      </w:rPr>
    </w:lvl>
    <w:lvl w:ilvl="7" w:tplc="45DC900E">
      <w:start w:val="1"/>
      <w:numFmt w:val="none"/>
      <w:lvlText w:val=""/>
      <w:lvlJc w:val="left"/>
      <w:pPr>
        <w:ind w:left="108" w:firstLine="0"/>
      </w:pPr>
      <w:rPr>
        <w:rFonts w:ascii="Calibri" w:eastAsia="Calibri" w:hAnsi="Calibri" w:cs="Calibri" w:hint="default"/>
        <w:color w:val="000000"/>
        <w:sz w:val="24"/>
      </w:rPr>
    </w:lvl>
    <w:lvl w:ilvl="8" w:tplc="04D82960">
      <w:start w:val="1"/>
      <w:numFmt w:val="none"/>
      <w:lvlText w:val=""/>
      <w:lvlJc w:val="left"/>
      <w:pPr>
        <w:ind w:left="108" w:firstLine="0"/>
      </w:pPr>
      <w:rPr>
        <w:rFonts w:ascii="Calibri" w:eastAsia="Calibri" w:hAnsi="Calibri" w:cs="Calibri" w:hint="default"/>
        <w:color w:val="000000"/>
        <w:sz w:val="24"/>
      </w:rPr>
    </w:lvl>
  </w:abstractNum>
  <w:abstractNum w:abstractNumId="3" w15:restartNumberingAfterBreak="0">
    <w:nsid w:val="160322C1"/>
    <w:multiLevelType w:val="hybridMultilevel"/>
    <w:tmpl w:val="05B40EB6"/>
    <w:lvl w:ilvl="0" w:tplc="A9F249D8">
      <w:start w:val="1"/>
      <w:numFmt w:val="decimal"/>
      <w:lvlText w:val="%1."/>
      <w:lvlJc w:val="left"/>
      <w:pPr>
        <w:ind w:left="505" w:hanging="397"/>
      </w:pPr>
      <w:rPr>
        <w:rFonts w:ascii="Calibri" w:eastAsia="Calibri" w:hAnsi="Calibri" w:cs="Calibri" w:hint="default"/>
        <w:color w:val="000000"/>
        <w:sz w:val="24"/>
      </w:rPr>
    </w:lvl>
    <w:lvl w:ilvl="1" w:tplc="75C21020">
      <w:start w:val="1"/>
      <w:numFmt w:val="decimal"/>
      <w:lvlText w:val="%2."/>
      <w:lvlJc w:val="left"/>
      <w:pPr>
        <w:ind w:left="902" w:hanging="397"/>
      </w:pPr>
      <w:rPr>
        <w:rFonts w:ascii="Calibri" w:eastAsia="Calibri" w:hAnsi="Calibri" w:cs="Calibri" w:hint="default"/>
        <w:color w:val="000000"/>
        <w:sz w:val="24"/>
      </w:rPr>
    </w:lvl>
    <w:lvl w:ilvl="2" w:tplc="F0E064C0">
      <w:start w:val="1"/>
      <w:numFmt w:val="lowerLetter"/>
      <w:lvlText w:val="(%3)"/>
      <w:lvlJc w:val="left"/>
      <w:pPr>
        <w:ind w:left="505" w:hanging="397"/>
      </w:pPr>
      <w:rPr>
        <w:rFonts w:ascii="Calibri" w:eastAsia="Calibri" w:hAnsi="Calibri" w:cs="Calibri" w:hint="default"/>
        <w:color w:val="000000"/>
        <w:sz w:val="24"/>
      </w:rPr>
    </w:lvl>
    <w:lvl w:ilvl="3" w:tplc="752817A2">
      <w:start w:val="1"/>
      <w:numFmt w:val="lowerLetter"/>
      <w:lvlText w:val="(%4)"/>
      <w:lvlJc w:val="left"/>
      <w:pPr>
        <w:ind w:left="902" w:hanging="397"/>
      </w:pPr>
      <w:rPr>
        <w:rFonts w:ascii="Calibri" w:eastAsia="Calibri" w:hAnsi="Calibri" w:cs="Calibri" w:hint="default"/>
        <w:color w:val="000000"/>
        <w:sz w:val="24"/>
      </w:rPr>
    </w:lvl>
    <w:lvl w:ilvl="4" w:tplc="ED7A0066">
      <w:start w:val="1"/>
      <w:numFmt w:val="lowerRoman"/>
      <w:lvlText w:val="(%5)"/>
      <w:lvlJc w:val="left"/>
      <w:pPr>
        <w:ind w:left="505" w:hanging="397"/>
      </w:pPr>
      <w:rPr>
        <w:rFonts w:ascii="Calibri" w:eastAsia="Calibri" w:hAnsi="Calibri" w:cs="Calibri" w:hint="default"/>
        <w:color w:val="000000"/>
        <w:sz w:val="24"/>
      </w:rPr>
    </w:lvl>
    <w:lvl w:ilvl="5" w:tplc="9CA258F4">
      <w:start w:val="1"/>
      <w:numFmt w:val="lowerRoman"/>
      <w:lvlText w:val="(%6)"/>
      <w:lvlJc w:val="left"/>
      <w:pPr>
        <w:ind w:left="902" w:hanging="397"/>
      </w:pPr>
      <w:rPr>
        <w:rFonts w:ascii="Calibri" w:eastAsia="Calibri" w:hAnsi="Calibri" w:cs="Calibri" w:hint="default"/>
        <w:color w:val="000000"/>
        <w:sz w:val="24"/>
      </w:rPr>
    </w:lvl>
    <w:lvl w:ilvl="6" w:tplc="D9CCF6FA">
      <w:start w:val="1"/>
      <w:numFmt w:val="none"/>
      <w:lvlText w:val=""/>
      <w:lvlJc w:val="left"/>
      <w:pPr>
        <w:ind w:left="108" w:firstLine="0"/>
      </w:pPr>
      <w:rPr>
        <w:rFonts w:ascii="Calibri" w:eastAsia="Calibri" w:hAnsi="Calibri" w:cs="Calibri" w:hint="default"/>
        <w:color w:val="000000"/>
        <w:sz w:val="24"/>
      </w:rPr>
    </w:lvl>
    <w:lvl w:ilvl="7" w:tplc="68A4ED3A">
      <w:start w:val="1"/>
      <w:numFmt w:val="none"/>
      <w:lvlText w:val=""/>
      <w:lvlJc w:val="left"/>
      <w:pPr>
        <w:ind w:left="108" w:firstLine="0"/>
      </w:pPr>
      <w:rPr>
        <w:rFonts w:ascii="Calibri" w:eastAsia="Calibri" w:hAnsi="Calibri" w:cs="Calibri" w:hint="default"/>
        <w:color w:val="000000"/>
        <w:sz w:val="24"/>
      </w:rPr>
    </w:lvl>
    <w:lvl w:ilvl="8" w:tplc="4DF4F19A">
      <w:start w:val="1"/>
      <w:numFmt w:val="none"/>
      <w:lvlText w:val=""/>
      <w:lvlJc w:val="right"/>
      <w:pPr>
        <w:ind w:left="108" w:firstLine="0"/>
      </w:pPr>
      <w:rPr>
        <w:rFonts w:ascii="Calibri" w:eastAsia="Calibri" w:hAnsi="Calibri" w:cs="Calibri" w:hint="default"/>
        <w:color w:val="000000"/>
        <w:sz w:val="24"/>
      </w:rPr>
    </w:lvl>
  </w:abstractNum>
  <w:abstractNum w:abstractNumId="4" w15:restartNumberingAfterBreak="0">
    <w:nsid w:val="18A94257"/>
    <w:multiLevelType w:val="hybridMultilevel"/>
    <w:tmpl w:val="68588926"/>
    <w:lvl w:ilvl="0" w:tplc="E8E06E40">
      <w:start w:val="1"/>
      <w:numFmt w:val="decimal"/>
      <w:lvlText w:val="%1."/>
      <w:lvlJc w:val="left"/>
      <w:pPr>
        <w:ind w:left="505" w:hanging="397"/>
      </w:pPr>
      <w:rPr>
        <w:rFonts w:ascii="Calibri" w:eastAsia="Calibri" w:hAnsi="Calibri" w:cs="Calibri" w:hint="default"/>
        <w:color w:val="000000"/>
        <w:sz w:val="24"/>
      </w:rPr>
    </w:lvl>
    <w:lvl w:ilvl="1" w:tplc="E9002EDA">
      <w:start w:val="1"/>
      <w:numFmt w:val="decimal"/>
      <w:lvlText w:val="%2."/>
      <w:lvlJc w:val="left"/>
      <w:pPr>
        <w:ind w:left="902" w:hanging="397"/>
      </w:pPr>
      <w:rPr>
        <w:rFonts w:ascii="Calibri" w:eastAsia="Calibri" w:hAnsi="Calibri" w:cs="Calibri" w:hint="default"/>
        <w:color w:val="000000"/>
        <w:sz w:val="24"/>
      </w:rPr>
    </w:lvl>
    <w:lvl w:ilvl="2" w:tplc="C9BA6256">
      <w:start w:val="1"/>
      <w:numFmt w:val="lowerLetter"/>
      <w:lvlText w:val="(%3)"/>
      <w:lvlJc w:val="left"/>
      <w:pPr>
        <w:ind w:left="505" w:hanging="397"/>
      </w:pPr>
      <w:rPr>
        <w:rFonts w:ascii="Calibri" w:eastAsia="Calibri" w:hAnsi="Calibri" w:cs="Calibri" w:hint="default"/>
        <w:color w:val="000000"/>
        <w:sz w:val="24"/>
      </w:rPr>
    </w:lvl>
    <w:lvl w:ilvl="3" w:tplc="E91C7E4C">
      <w:start w:val="1"/>
      <w:numFmt w:val="lowerLetter"/>
      <w:lvlText w:val="(%4)"/>
      <w:lvlJc w:val="left"/>
      <w:pPr>
        <w:ind w:left="902" w:hanging="397"/>
      </w:pPr>
      <w:rPr>
        <w:rFonts w:ascii="Calibri" w:eastAsia="Calibri" w:hAnsi="Calibri" w:cs="Calibri" w:hint="default"/>
        <w:color w:val="000000"/>
        <w:sz w:val="24"/>
      </w:rPr>
    </w:lvl>
    <w:lvl w:ilvl="4" w:tplc="87A42A3E">
      <w:start w:val="1"/>
      <w:numFmt w:val="lowerRoman"/>
      <w:lvlText w:val="(%5)"/>
      <w:lvlJc w:val="left"/>
      <w:pPr>
        <w:ind w:left="505" w:hanging="397"/>
      </w:pPr>
      <w:rPr>
        <w:rFonts w:ascii="Calibri" w:eastAsia="Calibri" w:hAnsi="Calibri" w:cs="Calibri" w:hint="default"/>
        <w:color w:val="000000"/>
        <w:sz w:val="24"/>
      </w:rPr>
    </w:lvl>
    <w:lvl w:ilvl="5" w:tplc="F2A42B20">
      <w:start w:val="1"/>
      <w:numFmt w:val="lowerRoman"/>
      <w:lvlText w:val="(%6)"/>
      <w:lvlJc w:val="left"/>
      <w:pPr>
        <w:ind w:left="902" w:hanging="397"/>
      </w:pPr>
      <w:rPr>
        <w:rFonts w:ascii="Calibri" w:eastAsia="Calibri" w:hAnsi="Calibri" w:cs="Calibri" w:hint="default"/>
        <w:color w:val="000000"/>
        <w:sz w:val="24"/>
      </w:rPr>
    </w:lvl>
    <w:lvl w:ilvl="6" w:tplc="B0BA6FF4">
      <w:start w:val="1"/>
      <w:numFmt w:val="none"/>
      <w:lvlText w:val=""/>
      <w:lvlJc w:val="left"/>
      <w:pPr>
        <w:ind w:left="108" w:firstLine="0"/>
      </w:pPr>
      <w:rPr>
        <w:rFonts w:ascii="Calibri" w:eastAsia="Calibri" w:hAnsi="Calibri" w:cs="Calibri" w:hint="default"/>
        <w:color w:val="000000"/>
        <w:sz w:val="24"/>
      </w:rPr>
    </w:lvl>
    <w:lvl w:ilvl="7" w:tplc="83E0CAA4">
      <w:start w:val="1"/>
      <w:numFmt w:val="none"/>
      <w:lvlText w:val=""/>
      <w:lvlJc w:val="left"/>
      <w:pPr>
        <w:ind w:left="108" w:firstLine="0"/>
      </w:pPr>
      <w:rPr>
        <w:rFonts w:ascii="Calibri" w:eastAsia="Calibri" w:hAnsi="Calibri" w:cs="Calibri" w:hint="default"/>
        <w:color w:val="000000"/>
        <w:sz w:val="24"/>
      </w:rPr>
    </w:lvl>
    <w:lvl w:ilvl="8" w:tplc="8E1EB3F6">
      <w:start w:val="1"/>
      <w:numFmt w:val="none"/>
      <w:lvlText w:val=""/>
      <w:lvlJc w:val="right"/>
      <w:pPr>
        <w:ind w:left="108" w:firstLine="0"/>
      </w:pPr>
      <w:rPr>
        <w:rFonts w:ascii="Calibri" w:eastAsia="Calibri" w:hAnsi="Calibri" w:cs="Calibri" w:hint="default"/>
        <w:color w:val="000000"/>
        <w:sz w:val="24"/>
      </w:rPr>
    </w:lvl>
  </w:abstractNum>
  <w:abstractNum w:abstractNumId="5" w15:restartNumberingAfterBreak="0">
    <w:nsid w:val="2A1A6EDF"/>
    <w:multiLevelType w:val="hybridMultilevel"/>
    <w:tmpl w:val="84042610"/>
    <w:lvl w:ilvl="0" w:tplc="B4B40EA8">
      <w:start w:val="1"/>
      <w:numFmt w:val="decimal"/>
      <w:lvlText w:val="%1."/>
      <w:lvlJc w:val="left"/>
      <w:pPr>
        <w:ind w:left="828" w:hanging="360"/>
      </w:pPr>
      <w:rPr>
        <w:rFonts w:ascii="Calibri" w:eastAsia="Calibri" w:hAnsi="Calibri" w:cs="Calibri" w:hint="default"/>
        <w:color w:val="000000"/>
        <w:sz w:val="24"/>
      </w:rPr>
    </w:lvl>
    <w:lvl w:ilvl="1" w:tplc="8D628596">
      <w:start w:val="1"/>
      <w:numFmt w:val="lowerLetter"/>
      <w:lvlText w:val="%2."/>
      <w:lvlJc w:val="left"/>
      <w:pPr>
        <w:ind w:left="1548" w:hanging="360"/>
      </w:pPr>
      <w:rPr>
        <w:rFonts w:ascii="Calibri" w:eastAsia="Calibri" w:hAnsi="Calibri" w:cs="Calibri" w:hint="default"/>
        <w:color w:val="000000"/>
        <w:sz w:val="24"/>
      </w:rPr>
    </w:lvl>
    <w:lvl w:ilvl="2" w:tplc="32F69362">
      <w:start w:val="1"/>
      <w:numFmt w:val="lowerRoman"/>
      <w:lvlText w:val="%3."/>
      <w:lvlJc w:val="right"/>
      <w:pPr>
        <w:ind w:left="2268" w:hanging="180"/>
      </w:pPr>
      <w:rPr>
        <w:rFonts w:ascii="Calibri" w:eastAsia="Calibri" w:hAnsi="Calibri" w:cs="Calibri" w:hint="default"/>
        <w:color w:val="000000"/>
        <w:sz w:val="24"/>
      </w:rPr>
    </w:lvl>
    <w:lvl w:ilvl="3" w:tplc="98B4BE62">
      <w:start w:val="1"/>
      <w:numFmt w:val="decimal"/>
      <w:lvlText w:val="%4."/>
      <w:lvlJc w:val="left"/>
      <w:pPr>
        <w:ind w:left="2988" w:hanging="360"/>
      </w:pPr>
      <w:rPr>
        <w:rFonts w:ascii="Calibri" w:eastAsia="Calibri" w:hAnsi="Calibri" w:cs="Calibri" w:hint="default"/>
        <w:color w:val="000000"/>
        <w:sz w:val="24"/>
      </w:rPr>
    </w:lvl>
    <w:lvl w:ilvl="4" w:tplc="292256D2">
      <w:start w:val="1"/>
      <w:numFmt w:val="lowerLetter"/>
      <w:lvlText w:val="%5."/>
      <w:lvlJc w:val="left"/>
      <w:pPr>
        <w:ind w:left="3708" w:hanging="360"/>
      </w:pPr>
      <w:rPr>
        <w:rFonts w:ascii="Calibri" w:eastAsia="Calibri" w:hAnsi="Calibri" w:cs="Calibri" w:hint="default"/>
        <w:color w:val="000000"/>
        <w:sz w:val="24"/>
      </w:rPr>
    </w:lvl>
    <w:lvl w:ilvl="5" w:tplc="2168E2EA">
      <w:start w:val="1"/>
      <w:numFmt w:val="lowerRoman"/>
      <w:lvlText w:val="%6."/>
      <w:lvlJc w:val="right"/>
      <w:pPr>
        <w:ind w:left="4428" w:hanging="180"/>
      </w:pPr>
      <w:rPr>
        <w:rFonts w:ascii="Calibri" w:eastAsia="Calibri" w:hAnsi="Calibri" w:cs="Calibri" w:hint="default"/>
        <w:color w:val="000000"/>
        <w:sz w:val="24"/>
      </w:rPr>
    </w:lvl>
    <w:lvl w:ilvl="6" w:tplc="D7DCA32A">
      <w:start w:val="1"/>
      <w:numFmt w:val="decimal"/>
      <w:lvlText w:val="%7."/>
      <w:lvlJc w:val="left"/>
      <w:pPr>
        <w:ind w:left="5148" w:hanging="360"/>
      </w:pPr>
      <w:rPr>
        <w:rFonts w:ascii="Calibri" w:eastAsia="Calibri" w:hAnsi="Calibri" w:cs="Calibri" w:hint="default"/>
        <w:color w:val="000000"/>
        <w:sz w:val="24"/>
      </w:rPr>
    </w:lvl>
    <w:lvl w:ilvl="7" w:tplc="1E7CED1E">
      <w:start w:val="1"/>
      <w:numFmt w:val="lowerLetter"/>
      <w:lvlText w:val="%8."/>
      <w:lvlJc w:val="left"/>
      <w:pPr>
        <w:ind w:left="5868" w:hanging="360"/>
      </w:pPr>
      <w:rPr>
        <w:rFonts w:ascii="Calibri" w:eastAsia="Calibri" w:hAnsi="Calibri" w:cs="Calibri" w:hint="default"/>
        <w:color w:val="000000"/>
        <w:sz w:val="24"/>
      </w:rPr>
    </w:lvl>
    <w:lvl w:ilvl="8" w:tplc="4524C48C">
      <w:start w:val="1"/>
      <w:numFmt w:val="lowerRoman"/>
      <w:lvlText w:val="%9."/>
      <w:lvlJc w:val="right"/>
      <w:pPr>
        <w:ind w:left="6588" w:hanging="180"/>
      </w:pPr>
      <w:rPr>
        <w:rFonts w:ascii="Calibri" w:eastAsia="Calibri" w:hAnsi="Calibri" w:cs="Calibri" w:hint="default"/>
        <w:color w:val="000000"/>
        <w:sz w:val="24"/>
      </w:rPr>
    </w:lvl>
  </w:abstractNum>
  <w:abstractNum w:abstractNumId="6" w15:restartNumberingAfterBreak="0">
    <w:nsid w:val="2ABA5EA0"/>
    <w:multiLevelType w:val="hybridMultilevel"/>
    <w:tmpl w:val="E3969068"/>
    <w:lvl w:ilvl="0" w:tplc="69A2D4A6">
      <w:start w:val="1"/>
      <w:numFmt w:val="decimal"/>
      <w:lvlText w:val="%1."/>
      <w:lvlJc w:val="left"/>
      <w:pPr>
        <w:ind w:left="468" w:hanging="360"/>
      </w:pPr>
      <w:rPr>
        <w:rFonts w:ascii="Calibri" w:eastAsia="Calibri" w:hAnsi="Calibri" w:cs="Calibri" w:hint="default"/>
        <w:color w:val="000000"/>
        <w:sz w:val="24"/>
      </w:rPr>
    </w:lvl>
    <w:lvl w:ilvl="1" w:tplc="96744CFE">
      <w:start w:val="1"/>
      <w:numFmt w:val="lowerLetter"/>
      <w:lvlText w:val="%2."/>
      <w:lvlJc w:val="left"/>
      <w:pPr>
        <w:ind w:left="1188" w:hanging="360"/>
      </w:pPr>
      <w:rPr>
        <w:rFonts w:ascii="Calibri" w:eastAsia="Calibri" w:hAnsi="Calibri" w:cs="Calibri" w:hint="default"/>
        <w:color w:val="000000"/>
        <w:sz w:val="24"/>
      </w:rPr>
    </w:lvl>
    <w:lvl w:ilvl="2" w:tplc="313402E0">
      <w:start w:val="1"/>
      <w:numFmt w:val="lowerRoman"/>
      <w:lvlText w:val="%3."/>
      <w:lvlJc w:val="right"/>
      <w:pPr>
        <w:ind w:left="1908" w:hanging="180"/>
      </w:pPr>
      <w:rPr>
        <w:rFonts w:ascii="Calibri" w:eastAsia="Calibri" w:hAnsi="Calibri" w:cs="Calibri" w:hint="default"/>
        <w:color w:val="000000"/>
        <w:sz w:val="24"/>
      </w:rPr>
    </w:lvl>
    <w:lvl w:ilvl="3" w:tplc="C504BD16">
      <w:start w:val="1"/>
      <w:numFmt w:val="decimal"/>
      <w:lvlText w:val="%4."/>
      <w:lvlJc w:val="left"/>
      <w:pPr>
        <w:ind w:left="2628" w:hanging="360"/>
      </w:pPr>
      <w:rPr>
        <w:rFonts w:ascii="Calibri" w:eastAsia="Calibri" w:hAnsi="Calibri" w:cs="Calibri" w:hint="default"/>
        <w:color w:val="000000"/>
        <w:sz w:val="24"/>
      </w:rPr>
    </w:lvl>
    <w:lvl w:ilvl="4" w:tplc="689A488C">
      <w:start w:val="1"/>
      <w:numFmt w:val="lowerLetter"/>
      <w:lvlText w:val="%5."/>
      <w:lvlJc w:val="left"/>
      <w:pPr>
        <w:ind w:left="3348" w:hanging="360"/>
      </w:pPr>
      <w:rPr>
        <w:rFonts w:ascii="Calibri" w:eastAsia="Calibri" w:hAnsi="Calibri" w:cs="Calibri" w:hint="default"/>
        <w:color w:val="000000"/>
        <w:sz w:val="24"/>
      </w:rPr>
    </w:lvl>
    <w:lvl w:ilvl="5" w:tplc="928C8984">
      <w:start w:val="1"/>
      <w:numFmt w:val="lowerRoman"/>
      <w:lvlText w:val="%6."/>
      <w:lvlJc w:val="right"/>
      <w:pPr>
        <w:ind w:left="4068" w:hanging="180"/>
      </w:pPr>
      <w:rPr>
        <w:rFonts w:ascii="Calibri" w:eastAsia="Calibri" w:hAnsi="Calibri" w:cs="Calibri" w:hint="default"/>
        <w:color w:val="000000"/>
        <w:sz w:val="24"/>
      </w:rPr>
    </w:lvl>
    <w:lvl w:ilvl="6" w:tplc="2F2AAB36">
      <w:start w:val="1"/>
      <w:numFmt w:val="decimal"/>
      <w:lvlText w:val="%7."/>
      <w:lvlJc w:val="left"/>
      <w:pPr>
        <w:ind w:left="4788" w:hanging="360"/>
      </w:pPr>
      <w:rPr>
        <w:rFonts w:ascii="Calibri" w:eastAsia="Calibri" w:hAnsi="Calibri" w:cs="Calibri" w:hint="default"/>
        <w:color w:val="000000"/>
        <w:sz w:val="24"/>
      </w:rPr>
    </w:lvl>
    <w:lvl w:ilvl="7" w:tplc="D82818C6">
      <w:start w:val="1"/>
      <w:numFmt w:val="lowerLetter"/>
      <w:lvlText w:val="%8."/>
      <w:lvlJc w:val="left"/>
      <w:pPr>
        <w:ind w:left="5508" w:hanging="360"/>
      </w:pPr>
      <w:rPr>
        <w:rFonts w:ascii="Calibri" w:eastAsia="Calibri" w:hAnsi="Calibri" w:cs="Calibri" w:hint="default"/>
        <w:color w:val="000000"/>
        <w:sz w:val="24"/>
      </w:rPr>
    </w:lvl>
    <w:lvl w:ilvl="8" w:tplc="CD3C31EE">
      <w:start w:val="1"/>
      <w:numFmt w:val="lowerRoman"/>
      <w:lvlText w:val="%9."/>
      <w:lvlJc w:val="right"/>
      <w:pPr>
        <w:ind w:left="6228" w:hanging="180"/>
      </w:pPr>
      <w:rPr>
        <w:rFonts w:ascii="Calibri" w:eastAsia="Calibri" w:hAnsi="Calibri" w:cs="Calibri" w:hint="default"/>
        <w:color w:val="000000"/>
        <w:sz w:val="24"/>
      </w:rPr>
    </w:lvl>
  </w:abstractNum>
  <w:abstractNum w:abstractNumId="7" w15:restartNumberingAfterBreak="0">
    <w:nsid w:val="2F0E6DB7"/>
    <w:multiLevelType w:val="hybridMultilevel"/>
    <w:tmpl w:val="955A102C"/>
    <w:lvl w:ilvl="0" w:tplc="A70ACDA2">
      <w:start w:val="1"/>
      <w:numFmt w:val="bullet"/>
      <w:lvlText w:val=""/>
      <w:lvlJc w:val="left"/>
      <w:pPr>
        <w:ind w:left="468" w:hanging="360"/>
      </w:pPr>
      <w:rPr>
        <w:rFonts w:ascii="Symbol" w:eastAsia="Symbol" w:hAnsi="Symbol" w:cs="Symbol" w:hint="default"/>
        <w:color w:val="000000"/>
        <w:sz w:val="24"/>
      </w:rPr>
    </w:lvl>
    <w:lvl w:ilvl="1" w:tplc="597C6AF4">
      <w:start w:val="1"/>
      <w:numFmt w:val="bullet"/>
      <w:lvlText w:val="o"/>
      <w:lvlJc w:val="left"/>
      <w:pPr>
        <w:ind w:left="1188" w:hanging="360"/>
      </w:pPr>
      <w:rPr>
        <w:rFonts w:ascii="Courier New" w:eastAsia="Courier New" w:hAnsi="Courier New" w:cs="Courier New" w:hint="default"/>
        <w:color w:val="000000"/>
        <w:sz w:val="24"/>
      </w:rPr>
    </w:lvl>
    <w:lvl w:ilvl="2" w:tplc="78AA9E84">
      <w:start w:val="1"/>
      <w:numFmt w:val="bullet"/>
      <w:lvlText w:val=""/>
      <w:lvlJc w:val="left"/>
      <w:pPr>
        <w:ind w:left="1908" w:hanging="360"/>
      </w:pPr>
      <w:rPr>
        <w:rFonts w:ascii="Wingdings" w:eastAsia="Wingdings" w:hAnsi="Wingdings" w:cs="Wingdings" w:hint="default"/>
        <w:color w:val="000000"/>
        <w:sz w:val="24"/>
      </w:rPr>
    </w:lvl>
    <w:lvl w:ilvl="3" w:tplc="B3507A96">
      <w:start w:val="1"/>
      <w:numFmt w:val="bullet"/>
      <w:lvlText w:val=""/>
      <w:lvlJc w:val="left"/>
      <w:pPr>
        <w:ind w:left="2628" w:hanging="360"/>
      </w:pPr>
      <w:rPr>
        <w:rFonts w:ascii="Symbol" w:eastAsia="Symbol" w:hAnsi="Symbol" w:cs="Symbol" w:hint="default"/>
        <w:color w:val="000000"/>
        <w:sz w:val="24"/>
      </w:rPr>
    </w:lvl>
    <w:lvl w:ilvl="4" w:tplc="678E4B36">
      <w:start w:val="1"/>
      <w:numFmt w:val="bullet"/>
      <w:lvlText w:val="o"/>
      <w:lvlJc w:val="left"/>
      <w:pPr>
        <w:ind w:left="3348" w:hanging="360"/>
      </w:pPr>
      <w:rPr>
        <w:rFonts w:ascii="Courier New" w:eastAsia="Courier New" w:hAnsi="Courier New" w:cs="Courier New" w:hint="default"/>
        <w:color w:val="000000"/>
        <w:sz w:val="24"/>
      </w:rPr>
    </w:lvl>
    <w:lvl w:ilvl="5" w:tplc="B1D854B2">
      <w:start w:val="1"/>
      <w:numFmt w:val="bullet"/>
      <w:lvlText w:val=""/>
      <w:lvlJc w:val="left"/>
      <w:pPr>
        <w:ind w:left="4068" w:hanging="360"/>
      </w:pPr>
      <w:rPr>
        <w:rFonts w:ascii="Wingdings" w:eastAsia="Wingdings" w:hAnsi="Wingdings" w:cs="Wingdings" w:hint="default"/>
        <w:color w:val="000000"/>
        <w:sz w:val="24"/>
      </w:rPr>
    </w:lvl>
    <w:lvl w:ilvl="6" w:tplc="B10A833A">
      <w:start w:val="1"/>
      <w:numFmt w:val="bullet"/>
      <w:lvlText w:val=""/>
      <w:lvlJc w:val="left"/>
      <w:pPr>
        <w:ind w:left="4788" w:hanging="360"/>
      </w:pPr>
      <w:rPr>
        <w:rFonts w:ascii="Symbol" w:eastAsia="Symbol" w:hAnsi="Symbol" w:cs="Symbol" w:hint="default"/>
        <w:color w:val="000000"/>
        <w:sz w:val="24"/>
      </w:rPr>
    </w:lvl>
    <w:lvl w:ilvl="7" w:tplc="E2A6AF90">
      <w:start w:val="1"/>
      <w:numFmt w:val="bullet"/>
      <w:lvlText w:val="o"/>
      <w:lvlJc w:val="left"/>
      <w:pPr>
        <w:ind w:left="5508" w:hanging="360"/>
      </w:pPr>
      <w:rPr>
        <w:rFonts w:ascii="Courier New" w:eastAsia="Courier New" w:hAnsi="Courier New" w:cs="Courier New" w:hint="default"/>
        <w:color w:val="000000"/>
        <w:sz w:val="24"/>
      </w:rPr>
    </w:lvl>
    <w:lvl w:ilvl="8" w:tplc="B1EC26D2">
      <w:start w:val="1"/>
      <w:numFmt w:val="bullet"/>
      <w:lvlText w:val=""/>
      <w:lvlJc w:val="left"/>
      <w:pPr>
        <w:ind w:left="6228" w:hanging="360"/>
      </w:pPr>
      <w:rPr>
        <w:rFonts w:ascii="Wingdings" w:eastAsia="Wingdings" w:hAnsi="Wingdings" w:cs="Wingdings" w:hint="default"/>
        <w:color w:val="000000"/>
        <w:sz w:val="24"/>
      </w:rPr>
    </w:lvl>
  </w:abstractNum>
  <w:abstractNum w:abstractNumId="8" w15:restartNumberingAfterBreak="0">
    <w:nsid w:val="36924575"/>
    <w:multiLevelType w:val="hybridMultilevel"/>
    <w:tmpl w:val="A8F6628A"/>
    <w:lvl w:ilvl="0" w:tplc="BDDAEE32">
      <w:start w:val="1"/>
      <w:numFmt w:val="bullet"/>
      <w:lvlText w:val=""/>
      <w:lvlJc w:val="left"/>
      <w:pPr>
        <w:ind w:left="828" w:hanging="360"/>
      </w:pPr>
      <w:rPr>
        <w:rFonts w:ascii="Symbol" w:eastAsia="Symbol" w:hAnsi="Symbol" w:cs="Symbol" w:hint="default"/>
        <w:color w:val="000000"/>
        <w:sz w:val="24"/>
      </w:rPr>
    </w:lvl>
    <w:lvl w:ilvl="1" w:tplc="AD7E6C48">
      <w:start w:val="1"/>
      <w:numFmt w:val="bullet"/>
      <w:lvlText w:val="o"/>
      <w:lvlJc w:val="left"/>
      <w:pPr>
        <w:ind w:left="1548" w:hanging="360"/>
      </w:pPr>
      <w:rPr>
        <w:rFonts w:ascii="Courier New" w:eastAsia="Courier New" w:hAnsi="Courier New" w:cs="Courier New" w:hint="default"/>
        <w:color w:val="000000"/>
        <w:sz w:val="24"/>
      </w:rPr>
    </w:lvl>
    <w:lvl w:ilvl="2" w:tplc="95E4BD56">
      <w:start w:val="1"/>
      <w:numFmt w:val="bullet"/>
      <w:lvlText w:val=""/>
      <w:lvlJc w:val="left"/>
      <w:pPr>
        <w:ind w:left="2268" w:hanging="360"/>
      </w:pPr>
      <w:rPr>
        <w:rFonts w:ascii="Wingdings" w:eastAsia="Wingdings" w:hAnsi="Wingdings" w:cs="Wingdings" w:hint="default"/>
        <w:color w:val="000000"/>
        <w:sz w:val="24"/>
      </w:rPr>
    </w:lvl>
    <w:lvl w:ilvl="3" w:tplc="39CCD9D2">
      <w:start w:val="1"/>
      <w:numFmt w:val="bullet"/>
      <w:lvlText w:val=""/>
      <w:lvlJc w:val="left"/>
      <w:pPr>
        <w:ind w:left="2988" w:hanging="360"/>
      </w:pPr>
      <w:rPr>
        <w:rFonts w:ascii="Symbol" w:eastAsia="Symbol" w:hAnsi="Symbol" w:cs="Symbol" w:hint="default"/>
        <w:color w:val="000000"/>
        <w:sz w:val="24"/>
      </w:rPr>
    </w:lvl>
    <w:lvl w:ilvl="4" w:tplc="F18E8C0A">
      <w:start w:val="1"/>
      <w:numFmt w:val="bullet"/>
      <w:lvlText w:val="o"/>
      <w:lvlJc w:val="left"/>
      <w:pPr>
        <w:ind w:left="3708" w:hanging="360"/>
      </w:pPr>
      <w:rPr>
        <w:rFonts w:ascii="Courier New" w:eastAsia="Courier New" w:hAnsi="Courier New" w:cs="Courier New" w:hint="default"/>
        <w:color w:val="000000"/>
        <w:sz w:val="24"/>
      </w:rPr>
    </w:lvl>
    <w:lvl w:ilvl="5" w:tplc="BD5AC1A0">
      <w:start w:val="1"/>
      <w:numFmt w:val="bullet"/>
      <w:lvlText w:val=""/>
      <w:lvlJc w:val="left"/>
      <w:pPr>
        <w:ind w:left="4428" w:hanging="360"/>
      </w:pPr>
      <w:rPr>
        <w:rFonts w:ascii="Wingdings" w:eastAsia="Wingdings" w:hAnsi="Wingdings" w:cs="Wingdings" w:hint="default"/>
        <w:color w:val="000000"/>
        <w:sz w:val="24"/>
      </w:rPr>
    </w:lvl>
    <w:lvl w:ilvl="6" w:tplc="C7384E96">
      <w:start w:val="1"/>
      <w:numFmt w:val="bullet"/>
      <w:lvlText w:val=""/>
      <w:lvlJc w:val="left"/>
      <w:pPr>
        <w:ind w:left="5148" w:hanging="360"/>
      </w:pPr>
      <w:rPr>
        <w:rFonts w:ascii="Symbol" w:eastAsia="Symbol" w:hAnsi="Symbol" w:cs="Symbol" w:hint="default"/>
        <w:color w:val="000000"/>
        <w:sz w:val="24"/>
      </w:rPr>
    </w:lvl>
    <w:lvl w:ilvl="7" w:tplc="598013F6">
      <w:start w:val="1"/>
      <w:numFmt w:val="bullet"/>
      <w:lvlText w:val="o"/>
      <w:lvlJc w:val="left"/>
      <w:pPr>
        <w:ind w:left="5868" w:hanging="360"/>
      </w:pPr>
      <w:rPr>
        <w:rFonts w:ascii="Courier New" w:eastAsia="Courier New" w:hAnsi="Courier New" w:cs="Courier New" w:hint="default"/>
        <w:color w:val="000000"/>
        <w:sz w:val="24"/>
      </w:rPr>
    </w:lvl>
    <w:lvl w:ilvl="8" w:tplc="12DAAAC6">
      <w:start w:val="1"/>
      <w:numFmt w:val="bullet"/>
      <w:lvlText w:val=""/>
      <w:lvlJc w:val="left"/>
      <w:pPr>
        <w:ind w:left="6588" w:hanging="360"/>
      </w:pPr>
      <w:rPr>
        <w:rFonts w:ascii="Wingdings" w:eastAsia="Wingdings" w:hAnsi="Wingdings" w:cs="Wingdings" w:hint="default"/>
        <w:color w:val="000000"/>
        <w:sz w:val="24"/>
      </w:rPr>
    </w:lvl>
  </w:abstractNum>
  <w:abstractNum w:abstractNumId="9" w15:restartNumberingAfterBreak="0">
    <w:nsid w:val="399C626A"/>
    <w:multiLevelType w:val="hybridMultilevel"/>
    <w:tmpl w:val="8334E19E"/>
    <w:lvl w:ilvl="0" w:tplc="2C0A03BE">
      <w:start w:val="1"/>
      <w:numFmt w:val="bullet"/>
      <w:lvlText w:val="•"/>
      <w:lvlJc w:val="left"/>
      <w:pPr>
        <w:ind w:left="392" w:hanging="284"/>
      </w:pPr>
      <w:rPr>
        <w:rFonts w:ascii="Calibri" w:eastAsia="Calibri" w:hAnsi="Calibri" w:cs="Calibri" w:hint="default"/>
        <w:color w:val="000000"/>
        <w:sz w:val="20"/>
      </w:rPr>
    </w:lvl>
    <w:lvl w:ilvl="1" w:tplc="DA86E6BA">
      <w:start w:val="1"/>
      <w:numFmt w:val="bullet"/>
      <w:lvlText w:val="•"/>
      <w:lvlJc w:val="left"/>
      <w:pPr>
        <w:ind w:left="392" w:hanging="284"/>
      </w:pPr>
      <w:rPr>
        <w:rFonts w:ascii="Calibri" w:eastAsia="Calibri" w:hAnsi="Calibri" w:cs="Calibri" w:hint="default"/>
        <w:color w:val="000000"/>
        <w:sz w:val="24"/>
      </w:rPr>
    </w:lvl>
    <w:lvl w:ilvl="2" w:tplc="05ECB316">
      <w:start w:val="1"/>
      <w:numFmt w:val="bullet"/>
      <w:lvlText w:val="–"/>
      <w:lvlJc w:val="left"/>
      <w:pPr>
        <w:ind w:left="675" w:hanging="283"/>
      </w:pPr>
      <w:rPr>
        <w:rFonts w:ascii="Arial" w:eastAsia="Arial" w:hAnsi="Arial" w:cs="Arial" w:hint="default"/>
        <w:color w:val="000000"/>
        <w:sz w:val="24"/>
      </w:rPr>
    </w:lvl>
    <w:lvl w:ilvl="3" w:tplc="C1881640">
      <w:start w:val="1"/>
      <w:numFmt w:val="bullet"/>
      <w:lvlText w:val="–"/>
      <w:lvlJc w:val="left"/>
      <w:pPr>
        <w:ind w:left="675" w:hanging="283"/>
      </w:pPr>
      <w:rPr>
        <w:rFonts w:ascii="Arial" w:eastAsia="Arial" w:hAnsi="Arial" w:cs="Arial" w:hint="default"/>
        <w:color w:val="000000"/>
        <w:sz w:val="24"/>
      </w:rPr>
    </w:lvl>
    <w:lvl w:ilvl="4" w:tplc="1B0ABFA2">
      <w:start w:val="1"/>
      <w:numFmt w:val="bullet"/>
      <w:lvlText w:val="•"/>
      <w:lvlJc w:val="left"/>
      <w:pPr>
        <w:ind w:left="788" w:hanging="283"/>
      </w:pPr>
      <w:rPr>
        <w:rFonts w:ascii="Calibri" w:eastAsia="Calibri" w:hAnsi="Calibri" w:cs="Calibri" w:hint="default"/>
        <w:color w:val="000000"/>
        <w:sz w:val="24"/>
      </w:rPr>
    </w:lvl>
    <w:lvl w:ilvl="5" w:tplc="3712304E">
      <w:start w:val="1"/>
      <w:numFmt w:val="bullet"/>
      <w:lvlText w:val="•"/>
      <w:lvlJc w:val="left"/>
      <w:pPr>
        <w:ind w:left="788" w:hanging="283"/>
      </w:pPr>
      <w:rPr>
        <w:rFonts w:ascii="Calibri" w:eastAsia="Calibri" w:hAnsi="Calibri" w:cs="Calibri" w:hint="default"/>
        <w:color w:val="000000"/>
        <w:sz w:val="24"/>
      </w:rPr>
    </w:lvl>
    <w:lvl w:ilvl="6" w:tplc="A8182062">
      <w:start w:val="1"/>
      <w:numFmt w:val="bullet"/>
      <w:lvlText w:val="•"/>
      <w:lvlJc w:val="left"/>
      <w:pPr>
        <w:ind w:left="335" w:hanging="227"/>
      </w:pPr>
      <w:rPr>
        <w:rFonts w:ascii="Calibri" w:eastAsia="Calibri" w:hAnsi="Calibri" w:cs="Calibri" w:hint="default"/>
        <w:color w:val="000000"/>
        <w:sz w:val="24"/>
      </w:rPr>
    </w:lvl>
    <w:lvl w:ilvl="7" w:tplc="A0EE590C">
      <w:start w:val="1"/>
      <w:numFmt w:val="none"/>
      <w:lvlText w:val=""/>
      <w:lvlJc w:val="left"/>
      <w:pPr>
        <w:ind w:left="108" w:firstLine="0"/>
      </w:pPr>
      <w:rPr>
        <w:rFonts w:ascii="Calibri" w:eastAsia="Calibri" w:hAnsi="Calibri" w:cs="Calibri" w:hint="default"/>
        <w:color w:val="000000"/>
        <w:sz w:val="24"/>
      </w:rPr>
    </w:lvl>
    <w:lvl w:ilvl="8" w:tplc="9330433E">
      <w:start w:val="1"/>
      <w:numFmt w:val="none"/>
      <w:lvlText w:val=""/>
      <w:lvlJc w:val="left"/>
      <w:pPr>
        <w:ind w:left="108" w:firstLine="0"/>
      </w:pPr>
      <w:rPr>
        <w:rFonts w:ascii="Calibri" w:eastAsia="Calibri" w:hAnsi="Calibri" w:cs="Calibri" w:hint="default"/>
        <w:color w:val="000000"/>
        <w:sz w:val="24"/>
      </w:rPr>
    </w:lvl>
  </w:abstractNum>
  <w:abstractNum w:abstractNumId="10" w15:restartNumberingAfterBreak="0">
    <w:nsid w:val="488E2A9C"/>
    <w:multiLevelType w:val="hybridMultilevel"/>
    <w:tmpl w:val="BFDCE1BC"/>
    <w:lvl w:ilvl="0" w:tplc="762C17BC">
      <w:start w:val="1"/>
      <w:numFmt w:val="decimal"/>
      <w:lvlText w:val="%1."/>
      <w:lvlJc w:val="left"/>
      <w:pPr>
        <w:ind w:left="505" w:hanging="397"/>
      </w:pPr>
      <w:rPr>
        <w:rFonts w:ascii="Calibri" w:eastAsia="Calibri" w:hAnsi="Calibri" w:cs="Calibri" w:hint="default"/>
        <w:color w:val="000000"/>
        <w:sz w:val="24"/>
      </w:rPr>
    </w:lvl>
    <w:lvl w:ilvl="1" w:tplc="CBBA387A">
      <w:start w:val="1"/>
      <w:numFmt w:val="decimal"/>
      <w:lvlText w:val="%2."/>
      <w:lvlJc w:val="left"/>
      <w:pPr>
        <w:ind w:left="902" w:hanging="397"/>
      </w:pPr>
      <w:rPr>
        <w:rFonts w:ascii="Calibri" w:eastAsia="Calibri" w:hAnsi="Calibri" w:cs="Calibri" w:hint="default"/>
        <w:color w:val="000000"/>
        <w:sz w:val="24"/>
      </w:rPr>
    </w:lvl>
    <w:lvl w:ilvl="2" w:tplc="247620A4">
      <w:start w:val="1"/>
      <w:numFmt w:val="lowerLetter"/>
      <w:lvlText w:val="(%3)"/>
      <w:lvlJc w:val="left"/>
      <w:pPr>
        <w:ind w:left="505" w:hanging="397"/>
      </w:pPr>
      <w:rPr>
        <w:rFonts w:ascii="Calibri" w:eastAsia="Calibri" w:hAnsi="Calibri" w:cs="Calibri" w:hint="default"/>
        <w:color w:val="000000"/>
        <w:sz w:val="24"/>
      </w:rPr>
    </w:lvl>
    <w:lvl w:ilvl="3" w:tplc="99DE56AE">
      <w:start w:val="1"/>
      <w:numFmt w:val="lowerLetter"/>
      <w:lvlText w:val="(%4)"/>
      <w:lvlJc w:val="left"/>
      <w:pPr>
        <w:ind w:left="902" w:hanging="397"/>
      </w:pPr>
      <w:rPr>
        <w:rFonts w:ascii="Calibri" w:eastAsia="Calibri" w:hAnsi="Calibri" w:cs="Calibri" w:hint="default"/>
        <w:color w:val="000000"/>
        <w:sz w:val="24"/>
      </w:rPr>
    </w:lvl>
    <w:lvl w:ilvl="4" w:tplc="BD40B6A2">
      <w:start w:val="1"/>
      <w:numFmt w:val="lowerRoman"/>
      <w:lvlText w:val="(%5)"/>
      <w:lvlJc w:val="left"/>
      <w:pPr>
        <w:ind w:left="505" w:hanging="397"/>
      </w:pPr>
      <w:rPr>
        <w:rFonts w:ascii="Calibri" w:eastAsia="Calibri" w:hAnsi="Calibri" w:cs="Calibri" w:hint="default"/>
        <w:color w:val="000000"/>
        <w:sz w:val="24"/>
      </w:rPr>
    </w:lvl>
    <w:lvl w:ilvl="5" w:tplc="FC62DF86">
      <w:start w:val="1"/>
      <w:numFmt w:val="lowerRoman"/>
      <w:lvlText w:val="(%6)"/>
      <w:lvlJc w:val="left"/>
      <w:pPr>
        <w:ind w:left="902" w:hanging="397"/>
      </w:pPr>
      <w:rPr>
        <w:rFonts w:ascii="Calibri" w:eastAsia="Calibri" w:hAnsi="Calibri" w:cs="Calibri" w:hint="default"/>
        <w:color w:val="000000"/>
        <w:sz w:val="24"/>
      </w:rPr>
    </w:lvl>
    <w:lvl w:ilvl="6" w:tplc="B7A004AC">
      <w:start w:val="1"/>
      <w:numFmt w:val="none"/>
      <w:lvlText w:val=""/>
      <w:lvlJc w:val="left"/>
      <w:pPr>
        <w:ind w:left="108" w:firstLine="0"/>
      </w:pPr>
      <w:rPr>
        <w:rFonts w:ascii="Calibri" w:eastAsia="Calibri" w:hAnsi="Calibri" w:cs="Calibri" w:hint="default"/>
        <w:color w:val="000000"/>
        <w:sz w:val="24"/>
      </w:rPr>
    </w:lvl>
    <w:lvl w:ilvl="7" w:tplc="9C0AABC2">
      <w:start w:val="1"/>
      <w:numFmt w:val="none"/>
      <w:lvlText w:val=""/>
      <w:lvlJc w:val="left"/>
      <w:pPr>
        <w:ind w:left="108" w:firstLine="0"/>
      </w:pPr>
      <w:rPr>
        <w:rFonts w:ascii="Calibri" w:eastAsia="Calibri" w:hAnsi="Calibri" w:cs="Calibri" w:hint="default"/>
        <w:color w:val="000000"/>
        <w:sz w:val="24"/>
      </w:rPr>
    </w:lvl>
    <w:lvl w:ilvl="8" w:tplc="A7C26310">
      <w:start w:val="1"/>
      <w:numFmt w:val="none"/>
      <w:lvlText w:val=""/>
      <w:lvlJc w:val="right"/>
      <w:pPr>
        <w:ind w:left="108" w:firstLine="0"/>
      </w:pPr>
      <w:rPr>
        <w:rFonts w:ascii="Calibri" w:eastAsia="Calibri" w:hAnsi="Calibri" w:cs="Calibri" w:hint="default"/>
        <w:color w:val="000000"/>
        <w:sz w:val="24"/>
      </w:rPr>
    </w:lvl>
  </w:abstractNum>
  <w:abstractNum w:abstractNumId="11" w15:restartNumberingAfterBreak="0">
    <w:nsid w:val="547839D2"/>
    <w:multiLevelType w:val="hybridMultilevel"/>
    <w:tmpl w:val="CB66BAAE"/>
    <w:lvl w:ilvl="0" w:tplc="43521AB0">
      <w:start w:val="1"/>
      <w:numFmt w:val="bullet"/>
      <w:lvlText w:val=""/>
      <w:lvlJc w:val="left"/>
      <w:pPr>
        <w:ind w:left="828" w:hanging="360"/>
      </w:pPr>
      <w:rPr>
        <w:rFonts w:ascii="Symbol" w:eastAsia="Symbol" w:hAnsi="Symbol" w:cs="Symbol" w:hint="default"/>
        <w:color w:val="000000"/>
        <w:sz w:val="24"/>
      </w:rPr>
    </w:lvl>
    <w:lvl w:ilvl="1" w:tplc="446A1E7C">
      <w:start w:val="1"/>
      <w:numFmt w:val="bullet"/>
      <w:lvlText w:val="o"/>
      <w:lvlJc w:val="left"/>
      <w:pPr>
        <w:ind w:left="1548" w:hanging="360"/>
      </w:pPr>
      <w:rPr>
        <w:rFonts w:ascii="Courier New" w:eastAsia="Courier New" w:hAnsi="Courier New" w:cs="Courier New" w:hint="default"/>
        <w:color w:val="000000"/>
        <w:sz w:val="24"/>
      </w:rPr>
    </w:lvl>
    <w:lvl w:ilvl="2" w:tplc="F682788C">
      <w:start w:val="1"/>
      <w:numFmt w:val="bullet"/>
      <w:lvlText w:val=""/>
      <w:lvlJc w:val="left"/>
      <w:pPr>
        <w:ind w:left="2268" w:hanging="360"/>
      </w:pPr>
      <w:rPr>
        <w:rFonts w:ascii="Wingdings" w:eastAsia="Wingdings" w:hAnsi="Wingdings" w:cs="Wingdings" w:hint="default"/>
        <w:color w:val="000000"/>
        <w:sz w:val="24"/>
      </w:rPr>
    </w:lvl>
    <w:lvl w:ilvl="3" w:tplc="27AAF02A">
      <w:start w:val="1"/>
      <w:numFmt w:val="bullet"/>
      <w:lvlText w:val=""/>
      <w:lvlJc w:val="left"/>
      <w:pPr>
        <w:ind w:left="2988" w:hanging="360"/>
      </w:pPr>
      <w:rPr>
        <w:rFonts w:ascii="Symbol" w:eastAsia="Symbol" w:hAnsi="Symbol" w:cs="Symbol" w:hint="default"/>
        <w:color w:val="000000"/>
        <w:sz w:val="24"/>
      </w:rPr>
    </w:lvl>
    <w:lvl w:ilvl="4" w:tplc="2D823CA4">
      <w:start w:val="1"/>
      <w:numFmt w:val="bullet"/>
      <w:lvlText w:val="o"/>
      <w:lvlJc w:val="left"/>
      <w:pPr>
        <w:ind w:left="3708" w:hanging="360"/>
      </w:pPr>
      <w:rPr>
        <w:rFonts w:ascii="Courier New" w:eastAsia="Courier New" w:hAnsi="Courier New" w:cs="Courier New" w:hint="default"/>
        <w:color w:val="000000"/>
        <w:sz w:val="24"/>
      </w:rPr>
    </w:lvl>
    <w:lvl w:ilvl="5" w:tplc="B768C8DA">
      <w:start w:val="1"/>
      <w:numFmt w:val="bullet"/>
      <w:lvlText w:val=""/>
      <w:lvlJc w:val="left"/>
      <w:pPr>
        <w:ind w:left="4428" w:hanging="360"/>
      </w:pPr>
      <w:rPr>
        <w:rFonts w:ascii="Wingdings" w:eastAsia="Wingdings" w:hAnsi="Wingdings" w:cs="Wingdings" w:hint="default"/>
        <w:color w:val="000000"/>
        <w:sz w:val="24"/>
      </w:rPr>
    </w:lvl>
    <w:lvl w:ilvl="6" w:tplc="F7F058BC">
      <w:start w:val="1"/>
      <w:numFmt w:val="bullet"/>
      <w:lvlText w:val=""/>
      <w:lvlJc w:val="left"/>
      <w:pPr>
        <w:ind w:left="5148" w:hanging="360"/>
      </w:pPr>
      <w:rPr>
        <w:rFonts w:ascii="Symbol" w:eastAsia="Symbol" w:hAnsi="Symbol" w:cs="Symbol" w:hint="default"/>
        <w:color w:val="000000"/>
        <w:sz w:val="24"/>
      </w:rPr>
    </w:lvl>
    <w:lvl w:ilvl="7" w:tplc="B3960C74">
      <w:start w:val="1"/>
      <w:numFmt w:val="bullet"/>
      <w:lvlText w:val="o"/>
      <w:lvlJc w:val="left"/>
      <w:pPr>
        <w:ind w:left="5868" w:hanging="360"/>
      </w:pPr>
      <w:rPr>
        <w:rFonts w:ascii="Courier New" w:eastAsia="Courier New" w:hAnsi="Courier New" w:cs="Courier New" w:hint="default"/>
        <w:color w:val="000000"/>
        <w:sz w:val="24"/>
      </w:rPr>
    </w:lvl>
    <w:lvl w:ilvl="8" w:tplc="404ADAEC">
      <w:start w:val="1"/>
      <w:numFmt w:val="bullet"/>
      <w:lvlText w:val=""/>
      <w:lvlJc w:val="left"/>
      <w:pPr>
        <w:ind w:left="6588" w:hanging="360"/>
      </w:pPr>
      <w:rPr>
        <w:rFonts w:ascii="Wingdings" w:eastAsia="Wingdings" w:hAnsi="Wingdings" w:cs="Wingdings" w:hint="default"/>
        <w:color w:val="000000"/>
        <w:sz w:val="24"/>
      </w:rPr>
    </w:lvl>
  </w:abstractNum>
  <w:abstractNum w:abstractNumId="12" w15:restartNumberingAfterBreak="0">
    <w:nsid w:val="57CC6D09"/>
    <w:multiLevelType w:val="hybridMultilevel"/>
    <w:tmpl w:val="73E81E20"/>
    <w:lvl w:ilvl="0" w:tplc="2F0C2630">
      <w:start w:val="1"/>
      <w:numFmt w:val="bullet"/>
      <w:lvlText w:val=""/>
      <w:lvlJc w:val="left"/>
      <w:pPr>
        <w:ind w:left="828" w:hanging="360"/>
      </w:pPr>
      <w:rPr>
        <w:rFonts w:ascii="Symbol" w:eastAsia="Symbol" w:hAnsi="Symbol" w:cs="Symbol" w:hint="default"/>
        <w:color w:val="000000"/>
        <w:sz w:val="24"/>
      </w:rPr>
    </w:lvl>
    <w:lvl w:ilvl="1" w:tplc="6F187ECE">
      <w:start w:val="1"/>
      <w:numFmt w:val="bullet"/>
      <w:lvlText w:val="o"/>
      <w:lvlJc w:val="left"/>
      <w:pPr>
        <w:ind w:left="1548" w:hanging="360"/>
      </w:pPr>
      <w:rPr>
        <w:rFonts w:ascii="Courier New" w:eastAsia="Courier New" w:hAnsi="Courier New" w:cs="Courier New" w:hint="default"/>
        <w:color w:val="000000"/>
        <w:sz w:val="24"/>
      </w:rPr>
    </w:lvl>
    <w:lvl w:ilvl="2" w:tplc="26C6053C">
      <w:start w:val="1"/>
      <w:numFmt w:val="bullet"/>
      <w:lvlText w:val=""/>
      <w:lvlJc w:val="left"/>
      <w:pPr>
        <w:ind w:left="2268" w:hanging="360"/>
      </w:pPr>
      <w:rPr>
        <w:rFonts w:ascii="Wingdings" w:eastAsia="Wingdings" w:hAnsi="Wingdings" w:cs="Wingdings" w:hint="default"/>
        <w:color w:val="000000"/>
        <w:sz w:val="24"/>
      </w:rPr>
    </w:lvl>
    <w:lvl w:ilvl="3" w:tplc="0B6458B2">
      <w:start w:val="1"/>
      <w:numFmt w:val="bullet"/>
      <w:lvlText w:val=""/>
      <w:lvlJc w:val="left"/>
      <w:pPr>
        <w:ind w:left="2988" w:hanging="360"/>
      </w:pPr>
      <w:rPr>
        <w:rFonts w:ascii="Symbol" w:eastAsia="Symbol" w:hAnsi="Symbol" w:cs="Symbol" w:hint="default"/>
        <w:color w:val="000000"/>
        <w:sz w:val="24"/>
      </w:rPr>
    </w:lvl>
    <w:lvl w:ilvl="4" w:tplc="185281F4">
      <w:start w:val="1"/>
      <w:numFmt w:val="bullet"/>
      <w:lvlText w:val="o"/>
      <w:lvlJc w:val="left"/>
      <w:pPr>
        <w:ind w:left="3708" w:hanging="360"/>
      </w:pPr>
      <w:rPr>
        <w:rFonts w:ascii="Courier New" w:eastAsia="Courier New" w:hAnsi="Courier New" w:cs="Courier New" w:hint="default"/>
        <w:color w:val="000000"/>
        <w:sz w:val="24"/>
      </w:rPr>
    </w:lvl>
    <w:lvl w:ilvl="5" w:tplc="015C79F6">
      <w:start w:val="1"/>
      <w:numFmt w:val="bullet"/>
      <w:lvlText w:val=""/>
      <w:lvlJc w:val="left"/>
      <w:pPr>
        <w:ind w:left="4428" w:hanging="360"/>
      </w:pPr>
      <w:rPr>
        <w:rFonts w:ascii="Wingdings" w:eastAsia="Wingdings" w:hAnsi="Wingdings" w:cs="Wingdings" w:hint="default"/>
        <w:color w:val="000000"/>
        <w:sz w:val="24"/>
      </w:rPr>
    </w:lvl>
    <w:lvl w:ilvl="6" w:tplc="57F48062">
      <w:start w:val="1"/>
      <w:numFmt w:val="bullet"/>
      <w:lvlText w:val=""/>
      <w:lvlJc w:val="left"/>
      <w:pPr>
        <w:ind w:left="5148" w:hanging="360"/>
      </w:pPr>
      <w:rPr>
        <w:rFonts w:ascii="Symbol" w:eastAsia="Symbol" w:hAnsi="Symbol" w:cs="Symbol" w:hint="default"/>
        <w:color w:val="000000"/>
        <w:sz w:val="24"/>
      </w:rPr>
    </w:lvl>
    <w:lvl w:ilvl="7" w:tplc="ADF6569E">
      <w:start w:val="1"/>
      <w:numFmt w:val="bullet"/>
      <w:lvlText w:val="o"/>
      <w:lvlJc w:val="left"/>
      <w:pPr>
        <w:ind w:left="5868" w:hanging="360"/>
      </w:pPr>
      <w:rPr>
        <w:rFonts w:ascii="Courier New" w:eastAsia="Courier New" w:hAnsi="Courier New" w:cs="Courier New" w:hint="default"/>
        <w:color w:val="000000"/>
        <w:sz w:val="24"/>
      </w:rPr>
    </w:lvl>
    <w:lvl w:ilvl="8" w:tplc="6430E2FC">
      <w:start w:val="1"/>
      <w:numFmt w:val="bullet"/>
      <w:lvlText w:val=""/>
      <w:lvlJc w:val="left"/>
      <w:pPr>
        <w:ind w:left="6588" w:hanging="360"/>
      </w:pPr>
      <w:rPr>
        <w:rFonts w:ascii="Wingdings" w:eastAsia="Wingdings" w:hAnsi="Wingdings" w:cs="Wingdings" w:hint="default"/>
        <w:color w:val="000000"/>
        <w:sz w:val="24"/>
      </w:rPr>
    </w:lvl>
  </w:abstractNum>
  <w:abstractNum w:abstractNumId="13" w15:restartNumberingAfterBreak="0">
    <w:nsid w:val="58D810D2"/>
    <w:multiLevelType w:val="hybridMultilevel"/>
    <w:tmpl w:val="01682A22"/>
    <w:lvl w:ilvl="0" w:tplc="B8F2BEC4">
      <w:start w:val="1"/>
      <w:numFmt w:val="bullet"/>
      <w:lvlText w:val=""/>
      <w:lvlJc w:val="left"/>
      <w:pPr>
        <w:ind w:left="828" w:hanging="360"/>
      </w:pPr>
      <w:rPr>
        <w:rFonts w:ascii="Symbol" w:eastAsia="Symbol" w:hAnsi="Symbol" w:cs="Symbol" w:hint="default"/>
        <w:color w:val="000000"/>
        <w:sz w:val="24"/>
      </w:rPr>
    </w:lvl>
    <w:lvl w:ilvl="1" w:tplc="04FED2C2">
      <w:start w:val="1"/>
      <w:numFmt w:val="bullet"/>
      <w:lvlText w:val="o"/>
      <w:lvlJc w:val="left"/>
      <w:pPr>
        <w:ind w:left="1548" w:hanging="360"/>
      </w:pPr>
      <w:rPr>
        <w:rFonts w:ascii="Courier New" w:eastAsia="Courier New" w:hAnsi="Courier New" w:cs="Courier New" w:hint="default"/>
        <w:color w:val="000000"/>
        <w:sz w:val="24"/>
      </w:rPr>
    </w:lvl>
    <w:lvl w:ilvl="2" w:tplc="ECB0B244">
      <w:start w:val="1"/>
      <w:numFmt w:val="bullet"/>
      <w:lvlText w:val=""/>
      <w:lvlJc w:val="left"/>
      <w:pPr>
        <w:ind w:left="2268" w:hanging="360"/>
      </w:pPr>
      <w:rPr>
        <w:rFonts w:ascii="Wingdings" w:eastAsia="Wingdings" w:hAnsi="Wingdings" w:cs="Wingdings" w:hint="default"/>
        <w:color w:val="000000"/>
        <w:sz w:val="24"/>
      </w:rPr>
    </w:lvl>
    <w:lvl w:ilvl="3" w:tplc="600E5ECE">
      <w:start w:val="1"/>
      <w:numFmt w:val="bullet"/>
      <w:lvlText w:val=""/>
      <w:lvlJc w:val="left"/>
      <w:pPr>
        <w:ind w:left="2988" w:hanging="360"/>
      </w:pPr>
      <w:rPr>
        <w:rFonts w:ascii="Symbol" w:eastAsia="Symbol" w:hAnsi="Symbol" w:cs="Symbol" w:hint="default"/>
        <w:color w:val="000000"/>
        <w:sz w:val="24"/>
      </w:rPr>
    </w:lvl>
    <w:lvl w:ilvl="4" w:tplc="8B1C59CC">
      <w:start w:val="1"/>
      <w:numFmt w:val="bullet"/>
      <w:lvlText w:val="o"/>
      <w:lvlJc w:val="left"/>
      <w:pPr>
        <w:ind w:left="3708" w:hanging="360"/>
      </w:pPr>
      <w:rPr>
        <w:rFonts w:ascii="Courier New" w:eastAsia="Courier New" w:hAnsi="Courier New" w:cs="Courier New" w:hint="default"/>
        <w:color w:val="000000"/>
        <w:sz w:val="24"/>
      </w:rPr>
    </w:lvl>
    <w:lvl w:ilvl="5" w:tplc="4CFA72F4">
      <w:start w:val="1"/>
      <w:numFmt w:val="bullet"/>
      <w:lvlText w:val=""/>
      <w:lvlJc w:val="left"/>
      <w:pPr>
        <w:ind w:left="4428" w:hanging="360"/>
      </w:pPr>
      <w:rPr>
        <w:rFonts w:ascii="Wingdings" w:eastAsia="Wingdings" w:hAnsi="Wingdings" w:cs="Wingdings" w:hint="default"/>
        <w:color w:val="000000"/>
        <w:sz w:val="24"/>
      </w:rPr>
    </w:lvl>
    <w:lvl w:ilvl="6" w:tplc="9E9682EA">
      <w:start w:val="1"/>
      <w:numFmt w:val="bullet"/>
      <w:lvlText w:val=""/>
      <w:lvlJc w:val="left"/>
      <w:pPr>
        <w:ind w:left="5148" w:hanging="360"/>
      </w:pPr>
      <w:rPr>
        <w:rFonts w:ascii="Symbol" w:eastAsia="Symbol" w:hAnsi="Symbol" w:cs="Symbol" w:hint="default"/>
        <w:color w:val="000000"/>
        <w:sz w:val="24"/>
      </w:rPr>
    </w:lvl>
    <w:lvl w:ilvl="7" w:tplc="C89A3B46">
      <w:start w:val="1"/>
      <w:numFmt w:val="bullet"/>
      <w:lvlText w:val="o"/>
      <w:lvlJc w:val="left"/>
      <w:pPr>
        <w:ind w:left="5868" w:hanging="360"/>
      </w:pPr>
      <w:rPr>
        <w:rFonts w:ascii="Courier New" w:eastAsia="Courier New" w:hAnsi="Courier New" w:cs="Courier New" w:hint="default"/>
        <w:color w:val="000000"/>
        <w:sz w:val="24"/>
      </w:rPr>
    </w:lvl>
    <w:lvl w:ilvl="8" w:tplc="3FDE9CF2">
      <w:start w:val="1"/>
      <w:numFmt w:val="bullet"/>
      <w:lvlText w:val=""/>
      <w:lvlJc w:val="left"/>
      <w:pPr>
        <w:ind w:left="6588" w:hanging="360"/>
      </w:pPr>
      <w:rPr>
        <w:rFonts w:ascii="Wingdings" w:eastAsia="Wingdings" w:hAnsi="Wingdings" w:cs="Wingdings" w:hint="default"/>
        <w:color w:val="000000"/>
        <w:sz w:val="24"/>
      </w:rPr>
    </w:lvl>
  </w:abstractNum>
  <w:abstractNum w:abstractNumId="14" w15:restartNumberingAfterBreak="0">
    <w:nsid w:val="61E960B3"/>
    <w:multiLevelType w:val="hybridMultilevel"/>
    <w:tmpl w:val="01824504"/>
    <w:lvl w:ilvl="0" w:tplc="00CE352A">
      <w:start w:val="1"/>
      <w:numFmt w:val="decimal"/>
      <w:lvlText w:val="%1."/>
      <w:lvlJc w:val="left"/>
      <w:pPr>
        <w:ind w:left="828" w:hanging="360"/>
      </w:pPr>
      <w:rPr>
        <w:rFonts w:ascii="Calibri" w:eastAsia="Calibri" w:hAnsi="Calibri" w:cs="Calibri" w:hint="default"/>
        <w:color w:val="000000"/>
        <w:sz w:val="24"/>
      </w:rPr>
    </w:lvl>
    <w:lvl w:ilvl="1" w:tplc="1A849376">
      <w:start w:val="1"/>
      <w:numFmt w:val="lowerLetter"/>
      <w:lvlText w:val="%2."/>
      <w:lvlJc w:val="left"/>
      <w:pPr>
        <w:ind w:left="1548" w:hanging="360"/>
      </w:pPr>
      <w:rPr>
        <w:rFonts w:ascii="Calibri" w:eastAsia="Calibri" w:hAnsi="Calibri" w:cs="Calibri" w:hint="default"/>
        <w:color w:val="000000"/>
        <w:sz w:val="24"/>
      </w:rPr>
    </w:lvl>
    <w:lvl w:ilvl="2" w:tplc="800A9B56">
      <w:start w:val="1"/>
      <w:numFmt w:val="lowerRoman"/>
      <w:lvlText w:val="%3."/>
      <w:lvlJc w:val="right"/>
      <w:pPr>
        <w:ind w:left="2268" w:hanging="180"/>
      </w:pPr>
      <w:rPr>
        <w:rFonts w:ascii="Calibri" w:eastAsia="Calibri" w:hAnsi="Calibri" w:cs="Calibri" w:hint="default"/>
        <w:color w:val="000000"/>
        <w:sz w:val="24"/>
      </w:rPr>
    </w:lvl>
    <w:lvl w:ilvl="3" w:tplc="AE50D052">
      <w:start w:val="1"/>
      <w:numFmt w:val="decimal"/>
      <w:lvlText w:val="%4."/>
      <w:lvlJc w:val="left"/>
      <w:pPr>
        <w:ind w:left="2988" w:hanging="360"/>
      </w:pPr>
      <w:rPr>
        <w:rFonts w:ascii="Calibri" w:eastAsia="Calibri" w:hAnsi="Calibri" w:cs="Calibri" w:hint="default"/>
        <w:color w:val="000000"/>
        <w:sz w:val="24"/>
      </w:rPr>
    </w:lvl>
    <w:lvl w:ilvl="4" w:tplc="71F2D2F2">
      <w:start w:val="1"/>
      <w:numFmt w:val="lowerLetter"/>
      <w:lvlText w:val="%5."/>
      <w:lvlJc w:val="left"/>
      <w:pPr>
        <w:ind w:left="3708" w:hanging="360"/>
      </w:pPr>
      <w:rPr>
        <w:rFonts w:ascii="Calibri" w:eastAsia="Calibri" w:hAnsi="Calibri" w:cs="Calibri" w:hint="default"/>
        <w:color w:val="000000"/>
        <w:sz w:val="24"/>
      </w:rPr>
    </w:lvl>
    <w:lvl w:ilvl="5" w:tplc="4578992A">
      <w:start w:val="1"/>
      <w:numFmt w:val="lowerRoman"/>
      <w:lvlText w:val="%6."/>
      <w:lvlJc w:val="right"/>
      <w:pPr>
        <w:ind w:left="4428" w:hanging="180"/>
      </w:pPr>
      <w:rPr>
        <w:rFonts w:ascii="Calibri" w:eastAsia="Calibri" w:hAnsi="Calibri" w:cs="Calibri" w:hint="default"/>
        <w:color w:val="000000"/>
        <w:sz w:val="24"/>
      </w:rPr>
    </w:lvl>
    <w:lvl w:ilvl="6" w:tplc="83B2C392">
      <w:start w:val="1"/>
      <w:numFmt w:val="decimal"/>
      <w:lvlText w:val="%7."/>
      <w:lvlJc w:val="left"/>
      <w:pPr>
        <w:ind w:left="5148" w:hanging="360"/>
      </w:pPr>
      <w:rPr>
        <w:rFonts w:ascii="Calibri" w:eastAsia="Calibri" w:hAnsi="Calibri" w:cs="Calibri" w:hint="default"/>
        <w:color w:val="000000"/>
        <w:sz w:val="24"/>
      </w:rPr>
    </w:lvl>
    <w:lvl w:ilvl="7" w:tplc="330A6008">
      <w:start w:val="1"/>
      <w:numFmt w:val="lowerLetter"/>
      <w:lvlText w:val="%8."/>
      <w:lvlJc w:val="left"/>
      <w:pPr>
        <w:ind w:left="5868" w:hanging="360"/>
      </w:pPr>
      <w:rPr>
        <w:rFonts w:ascii="Calibri" w:eastAsia="Calibri" w:hAnsi="Calibri" w:cs="Calibri" w:hint="default"/>
        <w:color w:val="000000"/>
        <w:sz w:val="24"/>
      </w:rPr>
    </w:lvl>
    <w:lvl w:ilvl="8" w:tplc="AA225DA2">
      <w:start w:val="1"/>
      <w:numFmt w:val="lowerRoman"/>
      <w:lvlText w:val="%9."/>
      <w:lvlJc w:val="right"/>
      <w:pPr>
        <w:ind w:left="6588" w:hanging="180"/>
      </w:pPr>
      <w:rPr>
        <w:rFonts w:ascii="Calibri" w:eastAsia="Calibri" w:hAnsi="Calibri" w:cs="Calibri" w:hint="default"/>
        <w:color w:val="000000"/>
        <w:sz w:val="24"/>
      </w:rPr>
    </w:lvl>
  </w:abstractNum>
  <w:num w:numId="1" w16cid:durableId="230308226">
    <w:abstractNumId w:val="8"/>
  </w:num>
  <w:num w:numId="2" w16cid:durableId="271212390">
    <w:abstractNumId w:val="9"/>
  </w:num>
  <w:num w:numId="3" w16cid:durableId="491140705">
    <w:abstractNumId w:val="0"/>
  </w:num>
  <w:num w:numId="4" w16cid:durableId="1652519281">
    <w:abstractNumId w:val="14"/>
  </w:num>
  <w:num w:numId="5" w16cid:durableId="1873612718">
    <w:abstractNumId w:val="7"/>
  </w:num>
  <w:num w:numId="6" w16cid:durableId="849874255">
    <w:abstractNumId w:val="1"/>
  </w:num>
  <w:num w:numId="7" w16cid:durableId="1679886649">
    <w:abstractNumId w:val="11"/>
  </w:num>
  <w:num w:numId="8" w16cid:durableId="957494400">
    <w:abstractNumId w:val="13"/>
  </w:num>
  <w:num w:numId="9" w16cid:durableId="1202979348">
    <w:abstractNumId w:val="12"/>
  </w:num>
  <w:num w:numId="10" w16cid:durableId="103506196">
    <w:abstractNumId w:val="6"/>
  </w:num>
  <w:num w:numId="11" w16cid:durableId="1372068602">
    <w:abstractNumId w:val="5"/>
  </w:num>
  <w:num w:numId="12" w16cid:durableId="898513773">
    <w:abstractNumId w:val="4"/>
  </w:num>
  <w:num w:numId="13" w16cid:durableId="951208161">
    <w:abstractNumId w:val="9"/>
  </w:num>
  <w:num w:numId="14" w16cid:durableId="1733649376">
    <w:abstractNumId w:val="3"/>
  </w:num>
  <w:num w:numId="15" w16cid:durableId="329723421">
    <w:abstractNumId w:val="3"/>
  </w:num>
  <w:num w:numId="16" w16cid:durableId="1369642543">
    <w:abstractNumId w:val="3"/>
  </w:num>
  <w:num w:numId="17" w16cid:durableId="1527254435">
    <w:abstractNumId w:val="10"/>
  </w:num>
  <w:num w:numId="18" w16cid:durableId="1206791967">
    <w:abstractNumId w:val="3"/>
  </w:num>
  <w:num w:numId="19" w16cid:durableId="148526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1172"/>
    <w:rsid w:val="00051172"/>
    <w:rsid w:val="00A67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71737"/>
  <w15:docId w15:val="{5314BEC0-39E2-4CEC-AAE2-B127DC78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A67502"/>
    <w:pPr>
      <w:tabs>
        <w:tab w:val="center" w:pos="4513"/>
        <w:tab w:val="right" w:pos="9026"/>
      </w:tabs>
    </w:pPr>
  </w:style>
  <w:style w:type="character" w:customStyle="1" w:styleId="HeaderChar">
    <w:name w:val="Header Char"/>
    <w:basedOn w:val="DefaultParagraphFont"/>
    <w:link w:val="Header"/>
    <w:uiPriority w:val="99"/>
    <w:rsid w:val="00A67502"/>
  </w:style>
  <w:style w:type="paragraph" w:styleId="Footer">
    <w:name w:val="footer"/>
    <w:basedOn w:val="Normal"/>
    <w:link w:val="FooterChar"/>
    <w:uiPriority w:val="99"/>
    <w:unhideWhenUsed/>
    <w:rsid w:val="00A67502"/>
    <w:pPr>
      <w:tabs>
        <w:tab w:val="center" w:pos="4513"/>
        <w:tab w:val="right" w:pos="9026"/>
      </w:tabs>
    </w:pPr>
  </w:style>
  <w:style w:type="character" w:customStyle="1" w:styleId="FooterChar">
    <w:name w:val="Footer Char"/>
    <w:basedOn w:val="DefaultParagraphFont"/>
    <w:link w:val="Footer"/>
    <w:uiPriority w:val="99"/>
    <w:rsid w:val="00A67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iders.dffh.vic.gov.au/human-services-standards-policy" TargetMode="External"/><Relationship Id="rId13" Type="http://schemas.openxmlformats.org/officeDocument/2006/relationships/hyperlink" Target="https://safeandequal.org.au/working-in-family-violence/service-responses/specialist-family-violence-services/the-code-of-practice/"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fac.dffh.vic.gov.au/sexual-assault-support-brokerage-program-guidelin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ac.dhhs.vic.gov.au/news/updated-family-violence-crisis-brokerage-guidelin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roviders.dffh.vic.gov.au/personal-safety-initiative-operational-guideline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providers.dffh.vic.gov.au/family-violence-flexible-support-packages-program-requirements-word" TargetMode="External"/><Relationship Id="rId14" Type="http://schemas.openxmlformats.org/officeDocument/2006/relationships/hyperlink" Target="http://providers.dffh.vic.gov.au/families-fairness-housing-health-activity-search"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1870</Words>
  <Characters>10659</Characters>
  <Application>Microsoft Office Word</Application>
  <DocSecurity>0</DocSecurity>
  <Lines>88</Lines>
  <Paragraphs>25</Paragraphs>
  <ScaleCrop>false</ScaleCrop>
  <Company>Oracle USA</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 DFFH - Flexible Funding Family Violence and Sexual Assault 38026</dc:title>
  <dc:subject/>
  <cp:keywords/>
  <cp:revision>2</cp:revision>
  <dcterms:created xsi:type="dcterms:W3CDTF">2023-04-03T06:23:00Z</dcterms:created>
  <dcterms:modified xsi:type="dcterms:W3CDTF">2023-04-03T06:23:00Z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2023-04-03T06:23:42Z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c4e9d7ec-1a8e-469f-82ac-c953fb088cc0</vt:lpwstr>
  </property>
  <property fmtid="{D5CDD505-2E9C-101B-9397-08002B2CF9AE}" pid="8" name="MSIP_Label_43e64453-338c-4f93-8a4d-0039a0a41f2a_ContentBits">
    <vt:lpwstr>2</vt:lpwstr>
  </property>
</Properties>
</file>