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The Orange Door - Integrated Practice Support 38011</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vic.gov.au/about-the-orange-door" TargetMode="External"/>
<Relationship Id="rId12" Type="http://schemas.openxmlformats.org/officeDocument/2006/relationships/hyperlink" Target="https://www.vic.gov.au/orange-door-practitioner-resources" TargetMode="External"/>
<Relationship Id="rId13" Type="http://schemas.openxmlformats.org/officeDocument/2006/relationships/hyperlink" Target="https://www.vic.gov.au/family-violence-multi-agency-risk-assessment-and-management" TargetMode="External"/>
<Relationship Id="rId14" Type="http://schemas.openxmlformats.org/officeDocument/2006/relationships/hyperlink" Target="https://www.cpmanual.vic.gov.au/our-approach/best-interests-case-practice-model" TargetMode="External"/>
<Relationship Id="rId15" Type="http://schemas.openxmlformats.org/officeDocument/2006/relationships/hyperlink" Target="https://www.vic.gov.au/information-sharing-schemes-and-the-maram-framework" TargetMode="External"/>
<Relationship Id="rId16" Type="http://schemas.openxmlformats.org/officeDocument/2006/relationships/hyperlink" Target="http://providers.dffh.vic.gov.au/families-fairness-housing-health-activity-search" TargetMode="External"/>
<Relationship Id="rId17"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The Orange Door - Integrated Practice Support</w:t>
            </w:r>
          </w:p>
          <w:p>
            <w:pPr>
              <w:spacing w:line="560" w:lineRule="atLeast"/>
              <w:rPr>
                <w:rFonts w:ascii="Arial" w:hAnsi="Arial" w:eastAsia="Arial" w:cs="Arial"/>
                <w:color w:val="201547"/>
                <w:sz w:val="44"/>
              </w:rPr>
            </w:pPr>
            <w:r>
              <w:rPr>
                <w:rFonts w:ascii="Arial" w:hAnsi="Arial" w:eastAsia="Arial" w:cs="Arial"/>
                <w:color w:val="201547"/>
                <w:sz w:val="44"/>
              </w:rPr>
              <w:t>38011</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Prevention of Family Violence</w:t>
            </w:r>
          </w:p>
          <w:p>
            <w:pPr>
              <w:spacing w:after="120"/>
              <w:rPr>
                <w:rFonts w:ascii="Arial" w:hAnsi="Arial" w:eastAsia="Arial" w:cs="Arial"/>
                <w:color w:val="201547"/>
                <w:sz w:val="28"/>
              </w:rPr>
            </w:pPr>
            <w:r>
              <w:rPr>
                <w:rFonts w:ascii="Arial" w:hAnsi="Arial" w:eastAsia="Arial" w:cs="Arial"/>
                <w:color w:val="201547"/>
                <w:sz w:val="28"/>
              </w:rPr>
              <w:t>Output: Family Violence Service Delivery</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Orange Door is an accessible community entry point that provides information and support to people experiencing or choosing to use family violence, and children, young people and families seeking parenting and wellbeing support. The Orange Door functions include: </w:t>
      </w:r>
      <w:r>
        <w:br/>
      </w:r>
      <w:r>
        <w:rPr>
          <w:rFonts w:ascii="Arial" w:hAnsi="Arial" w:eastAsia="Arial" w:cs="Arial"/>
          <w:color w:val="000000"/>
          <w:sz w:val="20"/>
        </w:rPr>
        <w:t xml:space="preserve">•  initial contact and information  </w:t>
      </w:r>
      <w:r>
        <w:br/>
      </w:r>
      <w:r>
        <w:rPr>
          <w:rFonts w:ascii="Arial" w:hAnsi="Arial" w:eastAsia="Arial" w:cs="Arial"/>
          <w:color w:val="000000"/>
          <w:sz w:val="20"/>
        </w:rPr>
        <w:t xml:space="preserve">•  screening, identification and triage </w:t>
      </w:r>
      <w:r>
        <w:br/>
      </w:r>
      <w:r>
        <w:rPr>
          <w:rFonts w:ascii="Arial" w:hAnsi="Arial" w:eastAsia="Arial" w:cs="Arial"/>
          <w:color w:val="000000"/>
          <w:sz w:val="20"/>
        </w:rPr>
        <w:t>•  crisis response, including brokerage</w:t>
      </w:r>
      <w:r>
        <w:br/>
      </w:r>
      <w:r>
        <w:rPr>
          <w:rFonts w:ascii="Arial" w:hAnsi="Arial" w:eastAsia="Arial" w:cs="Arial"/>
          <w:color w:val="000000"/>
          <w:sz w:val="20"/>
        </w:rPr>
        <w:t xml:space="preserve">•  family violence risk assessment including risk management </w:t>
      </w:r>
      <w:r>
        <w:br/>
      </w:r>
      <w:r>
        <w:rPr>
          <w:rFonts w:ascii="Arial" w:hAnsi="Arial" w:eastAsia="Arial" w:cs="Arial"/>
          <w:color w:val="000000"/>
          <w:sz w:val="20"/>
        </w:rPr>
        <w:t xml:space="preserve">•  child and young person wellbeing assessment </w:t>
      </w:r>
      <w:r>
        <w:br/>
      </w:r>
      <w:r>
        <w:rPr>
          <w:rFonts w:ascii="Arial" w:hAnsi="Arial" w:eastAsia="Arial" w:cs="Arial"/>
          <w:color w:val="000000"/>
          <w:sz w:val="20"/>
        </w:rPr>
        <w:t xml:space="preserve">•  safety planning </w:t>
      </w:r>
      <w:r>
        <w:br/>
      </w:r>
      <w:r>
        <w:rPr>
          <w:rFonts w:ascii="Arial" w:hAnsi="Arial" w:eastAsia="Arial" w:cs="Arial"/>
          <w:color w:val="000000"/>
          <w:sz w:val="20"/>
        </w:rPr>
        <w:t>•  service planning and referrals</w:t>
      </w:r>
      <w:r>
        <w:br/>
      </w:r>
      <w:r>
        <w:rPr>
          <w:rFonts w:ascii="Arial" w:hAnsi="Arial" w:eastAsia="Arial" w:cs="Arial"/>
          <w:color w:val="000000"/>
          <w:sz w:val="20"/>
        </w:rPr>
        <w:t>•  secondary consultation and capacity building</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 xml:space="preserve">The Orange Door brings together partner organisations from Family Violence, Child and Family services and Aboriginal Community Controlled Organisations (ACCOs) to provide an integrated intake point in each Area. Partner organisations are responsible for delivering The Orange Door functions. </w:t>
      </w:r>
      <w:r>
        <w:br/>
      </w:r>
      <w:r>
        <w:br/>
      </w:r>
      <w:r>
        <w:rPr>
          <w:rFonts w:ascii="Arial" w:hAnsi="Arial" w:eastAsia="Arial" w:cs="Arial"/>
          <w:color w:val="000000"/>
          <w:sz w:val="20"/>
        </w:rPr>
        <w:t xml:space="preserve">Integrated Practice Support is delivered by Practice Leaders. Each area-based partnership includes the following Practice Leaders:  </w:t>
      </w:r>
      <w:r>
        <w:br/>
      </w:r>
      <w:r>
        <w:rPr>
          <w:rFonts w:ascii="Arial" w:hAnsi="Arial" w:eastAsia="Arial" w:cs="Arial"/>
          <w:color w:val="000000"/>
          <w:sz w:val="20"/>
        </w:rPr>
        <w:t>•  Aboriginal Practice Leader (APL)</w:t>
      </w:r>
      <w:r>
        <w:br/>
      </w:r>
      <w:r>
        <w:rPr>
          <w:rFonts w:ascii="Arial" w:hAnsi="Arial" w:eastAsia="Arial" w:cs="Arial"/>
          <w:color w:val="000000"/>
          <w:sz w:val="20"/>
        </w:rPr>
        <w:t>•  Family Violence Victim Survivor Practice Leader (FVVSPL)</w:t>
      </w:r>
      <w:r>
        <w:br/>
      </w:r>
      <w:r>
        <w:rPr>
          <w:rFonts w:ascii="Arial" w:hAnsi="Arial" w:eastAsia="Arial" w:cs="Arial"/>
          <w:color w:val="000000"/>
          <w:sz w:val="20"/>
        </w:rPr>
        <w:t>•  Adult Using Family Violence Practice Leader (AUFVPL)</w:t>
      </w:r>
      <w:r>
        <w:br/>
      </w:r>
      <w:r>
        <w:rPr>
          <w:rFonts w:ascii="Arial" w:hAnsi="Arial" w:eastAsia="Arial" w:cs="Arial"/>
          <w:color w:val="000000"/>
          <w:sz w:val="20"/>
        </w:rPr>
        <w:t>•  Integrated Practice Leader (IPL)</w:t>
      </w:r>
      <w:r>
        <w:br/>
      </w:r>
      <w:r>
        <w:rPr>
          <w:rFonts w:ascii="Arial" w:hAnsi="Arial" w:eastAsia="Arial" w:cs="Arial"/>
          <w:color w:val="000000"/>
          <w:sz w:val="20"/>
        </w:rPr>
        <w:t>•  Child and Young Person Practice Leader (CYPPL).</w:t>
      </w:r>
      <w:r>
        <w:br/>
      </w:r>
      <w:r>
        <w:br/>
      </w:r>
      <w:r>
        <w:rPr>
          <w:rFonts w:ascii="Arial" w:hAnsi="Arial" w:eastAsia="Arial" w:cs="Arial"/>
          <w:color w:val="000000"/>
          <w:sz w:val="20"/>
        </w:rPr>
        <w:t xml:space="preserve">Practice Leaders form part of the leadership structure and lead the delivery of high quality, safe and effective service responses to people seeking support and services through The Orange Door. Practice Leaders are responsible for providing leadership support for The Orange Door practitioners to facilitate the delivery of The Orange Door service. Practice Leaders are responsible for driving integrated practice across The Orange Door and providing practice leadership and expert advice to the workforce on clients/families from an integrated or inter-disciplinary approach. Practice Leaders are also responsible for: </w:t>
      </w:r>
      <w:r>
        <w:br/>
      </w:r>
      <w:r>
        <w:rPr>
          <w:rFonts w:ascii="Arial" w:hAnsi="Arial" w:eastAsia="Arial" w:cs="Arial"/>
          <w:color w:val="000000"/>
          <w:sz w:val="20"/>
        </w:rPr>
        <w:t xml:space="preserve">•  Operating with autonomy and accountability in decision making in leading integrated practice </w:t>
      </w:r>
      <w:r>
        <w:br/>
      </w:r>
      <w:r>
        <w:rPr>
          <w:rFonts w:ascii="Arial" w:hAnsi="Arial" w:eastAsia="Arial" w:cs="Arial"/>
          <w:color w:val="000000"/>
          <w:sz w:val="20"/>
        </w:rPr>
        <w:t>•  Modelling and supporting culturally safe, inclusive and responsive practice</w:t>
      </w:r>
      <w:r>
        <w:br/>
      </w:r>
      <w:r>
        <w:rPr>
          <w:rFonts w:ascii="Arial" w:hAnsi="Arial" w:eastAsia="Arial" w:cs="Arial"/>
          <w:color w:val="000000"/>
          <w:sz w:val="20"/>
        </w:rPr>
        <w:t xml:space="preserve">•  Leading, mentoring and providing practice leadership for Team Leaders </w:t>
      </w:r>
      <w:r>
        <w:br/>
      </w:r>
      <w:r>
        <w:rPr>
          <w:rFonts w:ascii="Arial" w:hAnsi="Arial" w:eastAsia="Arial" w:cs="Arial"/>
          <w:color w:val="000000"/>
          <w:sz w:val="20"/>
        </w:rPr>
        <w:t>•  Undertaking analysis of clinical and professional development needs across the workforce, monitoring quality of practice and responding to local learning needs</w:t>
      </w:r>
      <w:r>
        <w:br/>
      </w:r>
      <w:r>
        <w:rPr>
          <w:rFonts w:ascii="Arial" w:hAnsi="Arial" w:eastAsia="Arial" w:cs="Arial"/>
          <w:color w:val="000000"/>
          <w:sz w:val="20"/>
        </w:rPr>
        <w:t>•  Implementing statewide operational guidance</w:t>
      </w:r>
      <w:r>
        <w:br/>
      </w:r>
      <w:r>
        <w:rPr>
          <w:rFonts w:ascii="Arial" w:hAnsi="Arial" w:eastAsia="Arial" w:cs="Arial"/>
          <w:color w:val="000000"/>
          <w:sz w:val="20"/>
        </w:rPr>
        <w:t xml:space="preserve">•  Leading implementation of the Family Violence Multi-Agency Risk Assessment and Management (MARAM) Framework and Best Interest Case Practice Model </w:t>
      </w:r>
      <w:r>
        <w:br/>
      </w:r>
      <w:r>
        <w:rPr>
          <w:rFonts w:ascii="Arial" w:hAnsi="Arial" w:eastAsia="Arial" w:cs="Arial"/>
          <w:color w:val="000000"/>
          <w:sz w:val="20"/>
        </w:rPr>
        <w:t>•  Leading practice within a complex service delivery context, particularly inter-disciplinary approaches to the provision of services to children, young people, families and diverse communities</w:t>
      </w:r>
      <w:r>
        <w:br/>
      </w:r>
      <w:r>
        <w:rPr>
          <w:rFonts w:ascii="Arial" w:hAnsi="Arial" w:eastAsia="Arial" w:cs="Arial"/>
          <w:color w:val="000000"/>
          <w:sz w:val="20"/>
        </w:rPr>
        <w:t>•  Working collaboratively in an integrated team, driving cultural change, inspiring positive practice cultures, supporting a large and varied integrated team of professionals and building and maintaining strong key stakeholder relationships</w:t>
      </w:r>
      <w:r>
        <w:br/>
      </w:r>
      <w:r>
        <w:rPr>
          <w:rFonts w:ascii="Arial" w:hAnsi="Arial" w:eastAsia="Arial" w:cs="Arial"/>
          <w:color w:val="000000"/>
          <w:sz w:val="20"/>
        </w:rPr>
        <w:t>•  Driving implementation of service and quality improvement activities via The Orange Door leadership governance structures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This activity is targeted at practitioners working in The Orange Door, including family violence services, child and family services, Aboriginal services and perpetrator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The Orange Door foundational documents including: The Orange Door Service Model, The Orange Door Service Specifications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&lt;https://www.vic.gov.au/about-the-orange-door&gt;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Service interfaces between The Orange Door and other services including Magistrate’s Court of Victoria, Community Operations and Victim’s Support, Child Protection and Integrated Services, Men’s Referral Services, Victoria Police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&lt;https://www.vic.gov.au/orange-door-practitioner-resources&gt;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Family Violence Multi-Agency Risk Assessment and Management (MARAM) Framework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&lt;https://www.vic.gov.au/family-violence-multi-agency-risk-assessment-and-management&gt;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Best Interests Case Practice Model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&lt;https://www.cpmanual.vic.gov.au/our-approach/best-interests-case-practice-model&gt;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Information sharing</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&lt;https://www.vic.gov.au/information-sharing-schemes-and-the-maram-framework&gt;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equivalent full-time staff employed (EFTs)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Practice Leader role(s) filled within The Orange Door Area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Practice Leader role(s) FTE filled within The Orange Door Area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TOD Acquittal agency template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Practice Leader role(s) will:</w:t>
            </w:r>
            <w:r>
              <w:br/>
            </w:r>
            <w:r>
              <w:br/>
            </w:r>
            <w:r>
              <w:rPr>
                <w:rFonts w:ascii="Arial" w:hAnsi="Arial" w:eastAsia="Arial" w:cs="Arial"/>
                <w:color w:val="000000"/>
                <w:sz w:val="20"/>
              </w:rPr>
              <w:t>•  provide practice leadership and drive integrated practice and decision making within The Orange Door during the reporting period.</w:t>
            </w:r>
            <w:r>
              <w:br/>
            </w:r>
            <w:r>
              <w:rPr>
                <w:rFonts w:ascii="Arial" w:hAnsi="Arial" w:eastAsia="Arial" w:cs="Arial"/>
                <w:color w:val="000000"/>
                <w:sz w:val="20"/>
              </w:rPr>
              <w:t xml:space="preserve">•  Lead integrated practice approaches within The Orange Door and work together to drive collaborative decision making </w:t>
            </w:r>
            <w:r>
              <w:br/>
            </w:r>
            <w:r>
              <w:rPr>
                <w:rFonts w:ascii="Arial" w:hAnsi="Arial" w:eastAsia="Arial" w:cs="Arial"/>
                <w:color w:val="000000"/>
                <w:sz w:val="20"/>
              </w:rPr>
              <w:t>•  Coordinate learning and development of The Orange Door workforce through communities of practice and other professional development</w:t>
            </w:r>
            <w:r>
              <w:br/>
            </w:r>
            <w:r>
              <w:rPr>
                <w:rFonts w:ascii="Arial" w:hAnsi="Arial" w:eastAsia="Arial" w:cs="Arial"/>
                <w:color w:val="000000"/>
                <w:sz w:val="20"/>
              </w:rPr>
              <w:t>•  Build capability of practitioners to deliver integrated functions and services responding to children, young people and adults who are experiencing or using family violence, and for families who require support with the development and wellbeing needs of their children and young people.</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TOD Acquittal agency template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July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6"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Prevention of Family Violence 38011 The Orange Door - Integrated Practice Support</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