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82EC" w14:textId="77777777" w:rsidR="00C567FB" w:rsidRDefault="009A5453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38E8AB38" wp14:editId="50FD5F48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567FB" w14:paraId="7A60F7F2" w14:textId="77777777">
        <w:tc>
          <w:tcPr>
            <w:tcW w:w="10206" w:type="dxa"/>
            <w:shd w:val="clear" w:color="auto" w:fill="FFFFFF"/>
            <w:vAlign w:val="bottom"/>
          </w:tcPr>
          <w:p w14:paraId="0DEA58A0" w14:textId="77777777" w:rsidR="00C567FB" w:rsidRDefault="00C567FB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256B123" w14:textId="77777777" w:rsidR="00C567FB" w:rsidRDefault="009A545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Targeted Case Management for COVID-19 Vaccination</w:t>
            </w:r>
          </w:p>
          <w:p w14:paraId="02D682B4" w14:textId="77777777" w:rsidR="00C567FB" w:rsidRDefault="009A545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37604</w:t>
            </w:r>
          </w:p>
        </w:tc>
      </w:tr>
      <w:tr w:rsidR="00C567FB" w14:paraId="350E3244" w14:textId="77777777">
        <w:tc>
          <w:tcPr>
            <w:tcW w:w="10206" w:type="dxa"/>
            <w:shd w:val="clear" w:color="auto" w:fill="FFFFFF"/>
          </w:tcPr>
          <w:p w14:paraId="751506D5" w14:textId="77777777" w:rsidR="00C567FB" w:rsidRDefault="009A54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42B41D54" w14:textId="77777777" w:rsidR="00C567FB" w:rsidRDefault="009A54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Empowering Individuals and Communities</w:t>
            </w:r>
          </w:p>
          <w:p w14:paraId="12D5F46A" w14:textId="77777777" w:rsidR="00C567FB" w:rsidRDefault="009A54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Multicultural Affairs Policy and Programs</w:t>
            </w:r>
          </w:p>
        </w:tc>
      </w:tr>
    </w:tbl>
    <w:p w14:paraId="7CAB3789" w14:textId="77777777" w:rsidR="00C567FB" w:rsidRDefault="009A5453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4F7E84FF" w14:textId="77777777" w:rsidR="00C567FB" w:rsidRDefault="009A54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 xml:space="preserve">1. </w:t>
      </w:r>
      <w:r>
        <w:rPr>
          <w:rFonts w:ascii="Arial" w:eastAsia="Arial" w:hAnsi="Arial" w:cs="Arial"/>
          <w:b/>
          <w:bCs/>
          <w:color w:val="201547"/>
          <w:sz w:val="28"/>
        </w:rPr>
        <w:t>Service objective</w:t>
      </w:r>
    </w:p>
    <w:p w14:paraId="43C0F8C9" w14:textId="77777777" w:rsidR="00C567FB" w:rsidRDefault="009A545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Targeted Case Management for COVID-19 Vaccination program will fund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to support priority cohorts (outlined in the program guidelines) to: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    Improve access by removing practical barriers to COVID-19 vaccinations  </w:t>
      </w:r>
      <w:r>
        <w:br/>
      </w:r>
      <w:r>
        <w:rPr>
          <w:rFonts w:ascii="Arial" w:eastAsia="Arial" w:hAnsi="Arial" w:cs="Arial"/>
          <w:color w:val="000000"/>
          <w:sz w:val="20"/>
        </w:rPr>
        <w:t>•     Promote and inc</w:t>
      </w:r>
      <w:r>
        <w:rPr>
          <w:rFonts w:ascii="Arial" w:eastAsia="Arial" w:hAnsi="Arial" w:cs="Arial"/>
          <w:color w:val="000000"/>
          <w:sz w:val="20"/>
        </w:rPr>
        <w:t>rease vaccine confidence through targeted case management.</w:t>
      </w:r>
    </w:p>
    <w:p w14:paraId="5D15222A" w14:textId="77777777" w:rsidR="00C567FB" w:rsidRDefault="009A54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0ECC9BB9" w14:textId="77777777" w:rsidR="00C567FB" w:rsidRDefault="009A545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service will provide information sessions and case management services to support increased vaccinations rate for priority groups in the community. The </w:t>
      </w:r>
      <w:r>
        <w:rPr>
          <w:rFonts w:ascii="Arial" w:eastAsia="Arial" w:hAnsi="Arial" w:cs="Arial"/>
          <w:color w:val="000000"/>
          <w:sz w:val="20"/>
        </w:rPr>
        <w:t>service will also be supported by brokerage funding.</w:t>
      </w:r>
    </w:p>
    <w:p w14:paraId="5A7EC25A" w14:textId="77777777" w:rsidR="00C567FB" w:rsidRDefault="009A54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4BF2CEBC" w14:textId="77777777" w:rsidR="00C567FB" w:rsidRDefault="009A54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</w:t>
      </w:r>
      <w:proofErr w:type="gramStart"/>
      <w:r>
        <w:rPr>
          <w:rFonts w:ascii="Arial" w:eastAsia="Arial" w:hAnsi="Arial" w:cs="Arial"/>
          <w:color w:val="000000"/>
          <w:sz w:val="20"/>
        </w:rPr>
        <w:t>group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this activity is targeted at are priority cohorts identified by DFFH, specifically: </w:t>
      </w:r>
      <w:r>
        <w:br/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- Children and their families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- Women and girls </w:t>
      </w:r>
      <w:r>
        <w:br/>
      </w:r>
      <w:r>
        <w:rPr>
          <w:rFonts w:ascii="Arial" w:eastAsia="Arial" w:hAnsi="Arial" w:cs="Arial"/>
          <w:color w:val="000000"/>
          <w:sz w:val="20"/>
        </w:rPr>
        <w:t>- Victim survivors of family viole</w:t>
      </w:r>
      <w:r>
        <w:rPr>
          <w:rFonts w:ascii="Arial" w:eastAsia="Arial" w:hAnsi="Arial" w:cs="Arial"/>
          <w:color w:val="000000"/>
          <w:sz w:val="20"/>
        </w:rPr>
        <w:t xml:space="preserve">nce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- People with disability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- Foster and/or Kinship </w:t>
      </w:r>
      <w:proofErr w:type="spellStart"/>
      <w:r>
        <w:rPr>
          <w:rFonts w:ascii="Arial" w:eastAsia="Arial" w:hAnsi="Arial" w:cs="Arial"/>
          <w:color w:val="000000"/>
          <w:sz w:val="20"/>
        </w:rPr>
        <w:t>carers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- Young people including those in care and custody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- Social housing residents, people experiencing housing instability and people living in high-risk accommodation  </w:t>
      </w:r>
      <w:r>
        <w:br/>
      </w:r>
      <w:r>
        <w:rPr>
          <w:rFonts w:ascii="Arial" w:eastAsia="Arial" w:hAnsi="Arial" w:cs="Arial"/>
          <w:color w:val="000000"/>
          <w:sz w:val="20"/>
        </w:rPr>
        <w:t>- People engaged in the ju</w:t>
      </w:r>
      <w:r>
        <w:rPr>
          <w:rFonts w:ascii="Arial" w:eastAsia="Arial" w:hAnsi="Arial" w:cs="Arial"/>
          <w:color w:val="000000"/>
          <w:sz w:val="20"/>
        </w:rPr>
        <w:t xml:space="preserve">stice system. </w:t>
      </w:r>
    </w:p>
    <w:p w14:paraId="3CF1EC8C" w14:textId="77777777" w:rsidR="00C567FB" w:rsidRDefault="009A54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lastRenderedPageBreak/>
        <w:t>4. Obligations specific to this activity</w:t>
      </w:r>
    </w:p>
    <w:p w14:paraId="280C8011" w14:textId="77777777" w:rsidR="00C567FB" w:rsidRDefault="009A54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0299D16A" w14:textId="77777777" w:rsidR="00C567FB" w:rsidRDefault="009A5453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62037CB0" w14:textId="77777777" w:rsidR="00C567FB" w:rsidRDefault="009A5453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Independent review and </w:t>
      </w:r>
      <w:r>
        <w:rPr>
          <w:rFonts w:ascii="Arial" w:eastAsia="Arial" w:hAnsi="Arial" w:cs="Arial"/>
          <w:color w:val="000000"/>
          <w:sz w:val="20"/>
        </w:rPr>
        <w:t>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AD35A16" w14:textId="77777777" w:rsidR="00C567FB" w:rsidRDefault="009A5453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5933C8EB" w14:textId="77777777" w:rsidR="00C567FB" w:rsidRDefault="009A5453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Targeted Case Management Vaccination Activities for COVID-19 Vaccination</w:t>
        </w:r>
      </w:hyperlink>
    </w:p>
    <w:p w14:paraId="32AFD1CA" w14:textId="77777777" w:rsidR="00C567FB" w:rsidRDefault="009A54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&lt;https://www.vic.gov.au/targeted-case-management-vaccination-act</w:t>
      </w:r>
      <w:r>
        <w:rPr>
          <w:rFonts w:ascii="Arial" w:eastAsia="Arial" w:hAnsi="Arial" w:cs="Arial"/>
          <w:color w:val="000000"/>
          <w:sz w:val="20"/>
        </w:rPr>
        <w:t>ivities-covid-19-vaccination.&gt;</w:t>
      </w:r>
    </w:p>
    <w:p w14:paraId="1E0FF3DF" w14:textId="77777777" w:rsidR="00C567FB" w:rsidRDefault="00C567F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650B8268" w14:textId="77777777" w:rsidR="00C567FB" w:rsidRDefault="009A5453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0596CC2B" w14:textId="77777777" w:rsidR="00C567FB" w:rsidRDefault="009A54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05232ED1" w14:textId="77777777" w:rsidR="00C567FB" w:rsidRDefault="009A54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1C7CD50" w14:textId="77777777" w:rsidR="00C567FB" w:rsidRDefault="009A54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C567FB" w14:paraId="37A03D1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C312E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7979D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To record number of clients engaged in the COVID-19 vaccination program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this activity</w:t>
            </w:r>
          </w:p>
        </w:tc>
      </w:tr>
      <w:tr w:rsidR="00C567FB" w14:paraId="297A6A3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CFFB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8E00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C567FB" w14:paraId="17CAE39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C67A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011E3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C567FB" w14:paraId="134558A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058D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C911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 the Number of clients engaged. 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Each person is to be counted once only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A client could be engaged through information sessions, telephone or direct contact, case management.  If a family group is engaged then count all of the family members.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mple: </w:t>
            </w:r>
            <w:r>
              <w:br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•  1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person is engaged by a case manager by phone = 1 client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3 people attend an information session, 1 is a current client, 2 are new to accessing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organisations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services = 2 clients counted  </w:t>
            </w:r>
          </w:p>
        </w:tc>
      </w:tr>
      <w:tr w:rsidR="00C567FB" w14:paraId="2E66B10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09CF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02FCE" w14:textId="77777777" w:rsidR="00C567FB" w:rsidRDefault="009A545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Service Delivery </w:t>
            </w:r>
            <w:r>
              <w:rPr>
                <w:rFonts w:ascii="Arial" w:eastAsia="Arial" w:hAnsi="Arial" w:cs="Arial"/>
                <w:color w:val="000000"/>
                <w:sz w:val="20"/>
              </w:rPr>
              <w:t>Tracking (SDT)</w:t>
            </w:r>
          </w:p>
        </w:tc>
      </w:tr>
      <w:tr w:rsidR="00C567FB" w14:paraId="72C5D5C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2B8F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EFA2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each client once they are engaged.  Do not count unique clients more than once.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Case management includes engage with clients to understand their unique and specific barriers and the required support to address barr</w:t>
            </w:r>
            <w:r>
              <w:rPr>
                <w:rFonts w:ascii="Arial" w:eastAsia="Arial" w:hAnsi="Arial" w:cs="Arial"/>
                <w:color w:val="000000"/>
                <w:sz w:val="20"/>
              </w:rPr>
              <w:t>iers to receive the vaccine. This may include addressing access requirements such as transport assistance, assistance with booking vaccination and child-minding support.</w:t>
            </w:r>
          </w:p>
        </w:tc>
      </w:tr>
    </w:tbl>
    <w:p w14:paraId="2AA7B293" w14:textId="77777777" w:rsidR="00C567FB" w:rsidRDefault="009A54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Performance measure 2: Number of individuals receiving a vaccination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C567FB" w14:paraId="7933370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858B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2506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record number of individuals receiving a COVID-19 vaccination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this activity</w:t>
            </w:r>
          </w:p>
        </w:tc>
      </w:tr>
      <w:tr w:rsidR="00C567FB" w14:paraId="5D76E8A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25425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D233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C567FB" w14:paraId="6D8A709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783B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4B4B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C567FB" w14:paraId="18CB01E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EDE1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CF72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Counting will include: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Number of </w:t>
            </w:r>
            <w:r>
              <w:rPr>
                <w:rFonts w:ascii="Arial" w:eastAsia="Arial" w:hAnsi="Arial" w:cs="Arial"/>
                <w:color w:val="000000"/>
                <w:sz w:val="20"/>
              </w:rPr>
              <w:t>individuals that received a COVID-19 vaccination.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Each dose of COVID-19 vaccination is to be counted as 1 individual receiving 1 COVID-19 vaccination </w:t>
            </w:r>
            <w:r>
              <w:br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•  3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individuals receive first dose vaccination by accessing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supported transportation to a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vaccination clinic = 3 individuals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•  The same 3 individuals receive second dose vaccination through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support = 3 people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 1 individual receives a third dose of = 1 person</w:t>
            </w:r>
          </w:p>
        </w:tc>
      </w:tr>
      <w:tr w:rsidR="00C567FB" w14:paraId="3BB3574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42127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BE26" w14:textId="77777777" w:rsidR="00C567FB" w:rsidRDefault="009A545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</w:tr>
      <w:tr w:rsidR="00C567FB" w14:paraId="0BB1662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7FD5C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969B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Vaccination refers to any COVID-19 vaccination 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i.e.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first, second or third dose)</w:t>
            </w:r>
          </w:p>
        </w:tc>
      </w:tr>
    </w:tbl>
    <w:p w14:paraId="2FA93964" w14:textId="77777777" w:rsidR="00C567FB" w:rsidRDefault="009A54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0A0B8CE5" w14:textId="77777777" w:rsidR="00C567FB" w:rsidRDefault="009A5453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C567FB" w14:paraId="27A962AA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DF51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141F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C01B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934B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C567FB" w14:paraId="54A3EF5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D300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Service </w:t>
            </w:r>
            <w:r>
              <w:rPr>
                <w:rFonts w:ascii="Arial" w:eastAsia="Arial" w:hAnsi="Arial" w:cs="Arial"/>
                <w:color w:val="000000"/>
                <w:sz w:val="20"/>
              </w:rPr>
              <w:t>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6629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37D1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SAMS/Service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2FC2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C567FB" w14:paraId="05A723E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53A5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Final Report (covering activity up to 20 May 2022)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B5C3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C4FF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Written report through template at project completion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253B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  <w:tr w:rsidR="00C567FB" w14:paraId="0EE641A5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641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Financial acquittal report (covering activity up to 20 May 2022)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33D6F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7B81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Acquittal template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6D5D7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  <w:tr w:rsidR="00C567FB" w14:paraId="60C21E9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114AF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Qualitative service delivery reporting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4AD3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64E8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Reporting Template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F379" w14:textId="77777777" w:rsidR="00C567FB" w:rsidRDefault="009A54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121CFC40" w14:textId="77777777" w:rsidR="00C567FB" w:rsidRDefault="00C567F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567FB" w14:paraId="6DDE27C8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05DD51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 </w:t>
            </w:r>
            <w:r>
              <w:rPr>
                <w:rFonts w:ascii="Arial" w:eastAsia="Arial" w:hAnsi="Arial" w:cs="Arial"/>
                <w:color w:val="000000"/>
                <w:sz w:val="20"/>
              </w:rPr>
              <w:t>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hyperlink r:id="rId9" w:tgtFrame="_blank" w:history="1">
              <w:r>
                <w:rPr>
                  <w:rFonts w:ascii="Arial" w:eastAsia="Arial" w:hAnsi="Arial" w:cs="Arial"/>
                  <w:color w:val="3366FF"/>
                  <w:sz w:val="24"/>
                </w:rPr>
                <w:t>&lt;sapolicy@dffh.vic.gov.au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&gt;</w:t>
            </w:r>
          </w:p>
          <w:p w14:paraId="650863DC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0DEBDD72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© State of Victoria, Australia, Department of Families, Fairness and Housing, January 20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22. </w:t>
            </w:r>
          </w:p>
          <w:p w14:paraId="2C9B0ED2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53944ECD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7B9FF75E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>Department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42E1DCBD" w14:textId="77777777" w:rsidR="00C567FB" w:rsidRDefault="009A54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EA91DC9" w14:textId="77777777" w:rsidR="00C567FB" w:rsidRDefault="00C567F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C567FB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0EE6" w14:textId="77777777" w:rsidR="00000000" w:rsidRDefault="009A5453">
      <w:r>
        <w:separator/>
      </w:r>
    </w:p>
  </w:endnote>
  <w:endnote w:type="continuationSeparator" w:id="0">
    <w:p w14:paraId="02B13D1D" w14:textId="77777777" w:rsidR="00000000" w:rsidRDefault="009A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8A05" w14:textId="77777777" w:rsidR="00C567FB" w:rsidRDefault="009A5453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5"/>
      <w:gridCol w:w="3473"/>
      <w:gridCol w:w="3692"/>
    </w:tblGrid>
    <w:tr w:rsidR="00C567FB" w14:paraId="6F68C45E" w14:textId="77777777">
      <w:tc>
        <w:tcPr>
          <w:tcW w:w="3185" w:type="dxa"/>
          <w:shd w:val="clear" w:color="auto" w:fill="FFFFFF"/>
        </w:tcPr>
        <w:p w14:paraId="2A12A5A1" w14:textId="77777777" w:rsidR="00C567FB" w:rsidRDefault="00C567F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2868D3BA" w14:textId="77777777" w:rsidR="00C567FB" w:rsidRDefault="009A545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588F4FED" w14:textId="77777777" w:rsidR="00C567FB" w:rsidRDefault="009A5453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CFA0A46" w14:textId="77777777" w:rsidR="00C567FB" w:rsidRDefault="009A5453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57948038" wp14:editId="7707C419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42390B" w14:textId="77777777" w:rsidR="00C567FB" w:rsidRDefault="00C567FB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5"/>
      <w:gridCol w:w="3473"/>
      <w:gridCol w:w="3473"/>
    </w:tblGrid>
    <w:tr w:rsidR="00C567FB" w14:paraId="652D038D" w14:textId="77777777">
      <w:tc>
        <w:tcPr>
          <w:tcW w:w="3185" w:type="dxa"/>
          <w:shd w:val="clear" w:color="auto" w:fill="FFFFFF"/>
        </w:tcPr>
        <w:p w14:paraId="607AE1EF" w14:textId="77777777" w:rsidR="00C567FB" w:rsidRDefault="00C567F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653A82EF" w14:textId="77777777" w:rsidR="00C567FB" w:rsidRDefault="009A545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10BE075C" w14:textId="77777777" w:rsidR="00C567FB" w:rsidRDefault="009A5453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7FFAF887" wp14:editId="5A1D4036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EE1BBB" w14:textId="77777777" w:rsidR="00C567FB" w:rsidRDefault="009A5453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2221" w14:textId="77777777" w:rsidR="00000000" w:rsidRDefault="009A5453">
      <w:r>
        <w:separator/>
      </w:r>
    </w:p>
  </w:footnote>
  <w:footnote w:type="continuationSeparator" w:id="0">
    <w:p w14:paraId="3A028B32" w14:textId="77777777" w:rsidR="00000000" w:rsidRDefault="009A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19F0" w14:textId="77777777" w:rsidR="00C567FB" w:rsidRDefault="009A5453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Empowering Individuals and </w:t>
    </w:r>
    <w:r>
      <w:rPr>
        <w:rFonts w:ascii="Arial" w:eastAsia="Arial" w:hAnsi="Arial" w:cs="Arial"/>
        <w:color w:val="000000"/>
        <w:sz w:val="18"/>
      </w:rPr>
      <w:t>Communities 37604 Targeted Case Management for COVID-19 Vaccination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A87F34A" w14:textId="77777777" w:rsidR="00C567FB" w:rsidRDefault="00C567F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D2CC" w14:textId="77777777" w:rsidR="00C567FB" w:rsidRDefault="00C567F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49D"/>
    <w:multiLevelType w:val="hybridMultilevel"/>
    <w:tmpl w:val="3EF4818A"/>
    <w:lvl w:ilvl="0" w:tplc="F88E1E3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0701B6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986ABD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934B68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B26FB2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372E49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BF23A5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060519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590E7E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ABF77C9"/>
    <w:multiLevelType w:val="hybridMultilevel"/>
    <w:tmpl w:val="42006EDE"/>
    <w:lvl w:ilvl="0" w:tplc="A336EAD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570743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CD6FCC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F8F68E0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7188A2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64C9B2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C50CFFA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3306C1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92E335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2F72FFA"/>
    <w:multiLevelType w:val="hybridMultilevel"/>
    <w:tmpl w:val="ADEE28DA"/>
    <w:lvl w:ilvl="0" w:tplc="8B76BD6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3F04B2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D7E446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0D86A6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B7E741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7BE55A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970FA2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992E2C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7D6E3F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ACD5456"/>
    <w:multiLevelType w:val="hybridMultilevel"/>
    <w:tmpl w:val="4394D572"/>
    <w:lvl w:ilvl="0" w:tplc="248C8DF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83277D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AF61E5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B3C60A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BE80BC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B305CF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07A0E00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936ACDE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1406BB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32B6AF2"/>
    <w:multiLevelType w:val="hybridMultilevel"/>
    <w:tmpl w:val="12CA232C"/>
    <w:lvl w:ilvl="0" w:tplc="99AE20D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A8FC34E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5A5297C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044B1C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9F808DF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1352857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B8B45B5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200367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3C2726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9A728EF"/>
    <w:multiLevelType w:val="hybridMultilevel"/>
    <w:tmpl w:val="466E45A6"/>
    <w:lvl w:ilvl="0" w:tplc="785839C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3723BA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CF08B9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B7CB36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6BC85E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E5CDB3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908906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9FA28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010D9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B756D9D"/>
    <w:multiLevelType w:val="hybridMultilevel"/>
    <w:tmpl w:val="D9727F1E"/>
    <w:lvl w:ilvl="0" w:tplc="4276367E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308B3E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8D4954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6B83DF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9EC6C5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DBA73E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F924E5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79490F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A9CE8D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30C40C8E"/>
    <w:multiLevelType w:val="hybridMultilevel"/>
    <w:tmpl w:val="97287490"/>
    <w:lvl w:ilvl="0" w:tplc="3ABCAE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A9C792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15C76D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AAAF92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D7096B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15EC48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BC0868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50C18D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22E7B5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38473F6F"/>
    <w:multiLevelType w:val="hybridMultilevel"/>
    <w:tmpl w:val="A3626F4C"/>
    <w:lvl w:ilvl="0" w:tplc="47EC8BF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D3A511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1A6CAF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1389BA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210062F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4F4D55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27C3A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F6E7CD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A02758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7973D2C"/>
    <w:multiLevelType w:val="hybridMultilevel"/>
    <w:tmpl w:val="DD2C8A40"/>
    <w:lvl w:ilvl="0" w:tplc="47389E2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C52752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D9E74F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4A4279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30EE4E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89A3BF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E2E357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B48E4E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162F5F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1A03B4F"/>
    <w:multiLevelType w:val="hybridMultilevel"/>
    <w:tmpl w:val="17A44C62"/>
    <w:lvl w:ilvl="0" w:tplc="BCCC4FB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D32773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6262A8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CAEB11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4D4956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84A0D9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304E8B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AEEAC4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7A84D2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580869BF"/>
    <w:multiLevelType w:val="hybridMultilevel"/>
    <w:tmpl w:val="FEF6D45E"/>
    <w:lvl w:ilvl="0" w:tplc="A736342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3683C9C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A5D0BA4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C088972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AAFE7FFA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1EE6B61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2678398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EA8E57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9F98060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B981F81"/>
    <w:multiLevelType w:val="hybridMultilevel"/>
    <w:tmpl w:val="9F1C607C"/>
    <w:lvl w:ilvl="0" w:tplc="0E5AF8E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36362F0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66AE89C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E5CC6B6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0692669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7C6ECF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CCE7180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9FEC92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A1CDC3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06C1EDA"/>
    <w:multiLevelType w:val="hybridMultilevel"/>
    <w:tmpl w:val="AC221286"/>
    <w:lvl w:ilvl="0" w:tplc="E6DC1DC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0172DE5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4627EE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8FA739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D9A637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AEC1CE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B000DFA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975E6C6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6AA6A5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4A53C3A"/>
    <w:multiLevelType w:val="hybridMultilevel"/>
    <w:tmpl w:val="9EF6AC8A"/>
    <w:lvl w:ilvl="0" w:tplc="B918497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32642B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248F92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A5E4CC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E78BE1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144DEE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1524806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B22312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21EC41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654289648">
    <w:abstractNumId w:val="9"/>
  </w:num>
  <w:num w:numId="2" w16cid:durableId="1000347588">
    <w:abstractNumId w:val="4"/>
  </w:num>
  <w:num w:numId="3" w16cid:durableId="1911847050">
    <w:abstractNumId w:val="1"/>
  </w:num>
  <w:num w:numId="4" w16cid:durableId="2061510103">
    <w:abstractNumId w:val="0"/>
  </w:num>
  <w:num w:numId="5" w16cid:durableId="61417079">
    <w:abstractNumId w:val="10"/>
  </w:num>
  <w:num w:numId="6" w16cid:durableId="2138255003">
    <w:abstractNumId w:val="13"/>
  </w:num>
  <w:num w:numId="7" w16cid:durableId="1327511905">
    <w:abstractNumId w:val="5"/>
  </w:num>
  <w:num w:numId="8" w16cid:durableId="1159223981">
    <w:abstractNumId w:val="6"/>
  </w:num>
  <w:num w:numId="9" w16cid:durableId="1067143955">
    <w:abstractNumId w:val="7"/>
  </w:num>
  <w:num w:numId="10" w16cid:durableId="1620604691">
    <w:abstractNumId w:val="11"/>
  </w:num>
  <w:num w:numId="11" w16cid:durableId="1265306428">
    <w:abstractNumId w:val="2"/>
  </w:num>
  <w:num w:numId="12" w16cid:durableId="1097674562">
    <w:abstractNumId w:val="3"/>
  </w:num>
  <w:num w:numId="13" w16cid:durableId="681443890">
    <w:abstractNumId w:val="4"/>
  </w:num>
  <w:num w:numId="14" w16cid:durableId="1046568269">
    <w:abstractNumId w:val="14"/>
  </w:num>
  <w:num w:numId="15" w16cid:durableId="161089562">
    <w:abstractNumId w:val="14"/>
  </w:num>
  <w:num w:numId="16" w16cid:durableId="1244022417">
    <w:abstractNumId w:val="14"/>
  </w:num>
  <w:num w:numId="17" w16cid:durableId="1484810149">
    <w:abstractNumId w:val="8"/>
  </w:num>
  <w:num w:numId="18" w16cid:durableId="1437484279">
    <w:abstractNumId w:val="14"/>
  </w:num>
  <w:num w:numId="19" w16cid:durableId="1369066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7FB"/>
    <w:rsid w:val="00103407"/>
    <w:rsid w:val="009A5453"/>
    <w:rsid w:val="00C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3BFC"/>
  <w15:docId w15:val="{F74E48C7-1B89-42A2-9D9A-086FDC67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targeted-case-management-vaccination-activities-covid-19-vaccination.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policy@dffh.vic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4940</Characters>
  <Application>Microsoft Office Word</Application>
  <DocSecurity>0</DocSecurity>
  <Lines>145</Lines>
  <Paragraphs>95</Paragraphs>
  <ScaleCrop>false</ScaleCrop>
  <Company>Oracle USA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Targeted Case Management for COVID-19 Vaccination 37604</dc:title>
  <dc:subject/>
  <dc:creator>User</dc:creator>
  <cp:keywords/>
  <dc:description>Generated by Oracle BI Publisher 12.2.1.3.0</dc:description>
  <cp:lastModifiedBy>Melissa Taylor (DFFH)</cp:lastModifiedBy>
  <cp:revision>2</cp:revision>
  <dcterms:created xsi:type="dcterms:W3CDTF">2023-08-16T02:41:00Z</dcterms:created>
  <dcterms:modified xsi:type="dcterms:W3CDTF">2023-08-16T02:41:00Z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d39f782f0722e45613af0d72951a893ef3486be7d700cc5f2e5549d7f376007a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2023-08-16T02:37:56Z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a21b261f-8de3-4e89-9965-ea17dea3ac26</vt:lpwstr>
  </property>
  <property fmtid="{D5CDD505-2E9C-101B-9397-08002B2CF9AE}" pid="9" name="MSIP_Label_efdf5488-3066-4b6c-8fea-9472b8a1f34c_ContentBits">
    <vt:lpwstr>0</vt:lpwstr>
  </property>
</Properties>
</file>