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Additional Respite for Carers 37416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providers.dffh.vic.gov.au/carers" TargetMode="External"/>
<Relationship Id="rId12" Type="http://schemas.openxmlformats.org/officeDocument/2006/relationships/hyperlink" Target="https://www.dffh.vic.gov.au/publications/recognising-and-supporting-victorias-carers-victorian-carer-strategy-2018-22" TargetMode="External"/>
<Relationship Id="rId13" Type="http://schemas.openxmlformats.org/officeDocument/2006/relationships/hyperlink" Target="http://providers.dffh.vic.gov.au/families-fairness-housing-health-activity-search" TargetMode="External"/>
<Relationship Id="rId14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Additional Respite for Carers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37416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safe and secure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Empowering Individuals and Communities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Seniors Programs and Participation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provide access to services and support to people with a caring role in Victoria.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To deliver tailored services and flexible respite support to people with a caring role under the Additional Respite for Carers Program. 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>The types of services include, but are not limited to:</w:t>
      </w:r>
      <w:r>
        <w:br/>
      </w:r>
      <w:r>
        <w:rPr>
          <w:rFonts w:ascii="Arial" w:hAnsi="Arial" w:eastAsia="Arial" w:cs="Arial"/>
          <w:color w:val="000000"/>
          <w:sz w:val="20"/>
        </w:rPr>
        <w:t>-  Respite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  -      Individual or group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  -      Across various settings: in home, in facility, in community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  -      Range of types: overnight, activities, events, outings, camps, retreats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  -      For the person with a caring role or person with care needs, or both together with family or friends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>The types of delivery include, but are not limited to:</w:t>
      </w:r>
      <w:r>
        <w:br/>
      </w:r>
      <w:r>
        <w:rPr>
          <w:rFonts w:ascii="Arial" w:hAnsi="Arial" w:eastAsia="Arial" w:cs="Arial"/>
          <w:color w:val="000000"/>
          <w:sz w:val="20"/>
        </w:rPr>
        <w:t>-   Direct practice / face to face respite support</w:t>
      </w:r>
      <w:r>
        <w:br/>
      </w:r>
      <w:r>
        <w:rPr>
          <w:rFonts w:ascii="Arial" w:hAnsi="Arial" w:eastAsia="Arial" w:cs="Arial"/>
          <w:color w:val="000000"/>
          <w:sz w:val="20"/>
        </w:rPr>
        <w:t>-   Phone based and online respite support</w:t>
      </w:r>
      <w:r>
        <w:br/>
      </w:r>
      <w:r>
        <w:rPr>
          <w:rFonts w:ascii="Arial" w:hAnsi="Arial" w:eastAsia="Arial" w:cs="Arial"/>
          <w:color w:val="000000"/>
          <w:sz w:val="20"/>
        </w:rPr>
        <w:t>-   Transport to participate in respite activities.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>Providers of social services in Victoria who are in scope of the scheme must register with the Social Services Regulator and comply with registration requirements. This includes overnight respite services.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• Client Facing</w:t>
      </w:r>
      <w:r>
        <w:br/>
      </w:r>
      <w:r>
        <w:rPr>
          <w:rFonts w:ascii="Arial" w:hAnsi="Arial" w:eastAsia="Arial" w:cs="Arial"/>
          <w:color w:val="000000"/>
          <w:sz w:val="20"/>
        </w:rPr>
        <w:t>This activity is targeted at people with a caring role in need of respite support.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spacing w:after="40"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N/A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Additional Respite for Carers Program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&lt;https://providers.dffh.vic.gov.au/carers&gt;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2" w:tgtFrame="_blank" w:history="1">
        <w:r>
          <w:rPr>
            <w:rFonts w:ascii="Arial" w:hAnsi="Arial" w:eastAsia="Arial" w:cs="Arial"/>
            <w:color w:val="3366FF"/>
            <w:sz w:val="20"/>
          </w:rPr>
          <w:t>Victorian Carer Strategy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&lt;https://www.dffh.vic.gov.au/publications/recognising-and-supporting-victorias-carers-victorian-carer-strategy-2018-22&gt;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carers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carers accessing respite through the Additional Respite for Carers Program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total number of carers supported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Delivery Tracking (SDT)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 carer is a person in a care relationship providing support to a person with care needs. Refer to Additional Respite for Carers Program Guidelines for definitions around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-   Care relationship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-   Person with care needs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-   Person with caring role.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2: Number of service hours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hours of respite support provided to carers through the Additional Respite for Carers Program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total number of hours of services delivered to carers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Delivery Tracking (SDT)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Performance measure 3: Submission of a report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reports submitted about the qualitative and demographic programmatic data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 Non-cumulative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total number of reports submitted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Additional Respite for Carers Annual Provider Report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Delivery Tracking (SDT)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My Agency/SAM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SDT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Monthly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Additional Respite for Carers Annual Provider Report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Annual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4"/>
      </w:tblGrid>
      <w:tr>
        <w:trPr>
          <w:cantSplit/>
        </w:trPr>
        <w:tc>
          <w:tcPr>
            <w:tcW w:w="10204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hAnsi="Arial" w:eastAsia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© State of Victoria, Australia, Department of Families, Fairness and Housing, </w:t>
            </w:r>
            <w:r>
              <w:rPr>
                <w:rFonts w:ascii="Arial" w:hAnsi="Arial" w:eastAsia="Arial" w:cs="Arial"/>
                <w:color w:val="000000"/>
                <w:sz w:val="16"/>
              </w:rPr>
              <w:t>July 2025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2653-0929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3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692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3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 xml:space="preserve">   </w: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Empowering Individuals and Communities 37416 Additional Respite for Carers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