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SRS Support Funding 37414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fac.dffh.vic.gov.au/supported-residential-services-outreach-and-assistance-programguidelines" TargetMode="External"/>
<Relationship Id="rId12" Type="http://schemas.openxmlformats.org/officeDocument/2006/relationships/hyperlink" Target="https://fac/dffh.vic.gov.au/supported-residential-services-outreach-and-assistance-program-requirements-for-funded-organisations"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SRS Support Funding</w:t>
            </w:r>
          </w:p>
          <w:p>
            <w:pPr>
              <w:spacing w:line="560" w:lineRule="atLeast"/>
              <w:rPr>
                <w:rFonts w:ascii="Arial" w:hAnsi="Arial" w:eastAsia="Arial" w:cs="Arial"/>
                <w:color w:val="201547"/>
                <w:sz w:val="44"/>
              </w:rPr>
            </w:pPr>
            <w:r>
              <w:rPr>
                <w:rFonts w:ascii="Arial" w:hAnsi="Arial" w:eastAsia="Arial" w:cs="Arial"/>
                <w:color w:val="201547"/>
                <w:sz w:val="44"/>
              </w:rPr>
              <w:t>37414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Empowering Individuals and Communities</w:t>
            </w:r>
          </w:p>
          <w:p>
            <w:pPr>
              <w:spacing w:after="120"/>
              <w:rPr>
                <w:rFonts w:ascii="Arial" w:hAnsi="Arial" w:eastAsia="Arial" w:cs="Arial"/>
                <w:color w:val="201547"/>
                <w:sz w:val="28"/>
              </w:rPr>
            </w:pPr>
            <w:r>
              <w:rPr>
                <w:rFonts w:ascii="Arial" w:hAnsi="Arial" w:eastAsia="Arial" w:cs="Arial"/>
                <w:color w:val="201547"/>
                <w:sz w:val="28"/>
              </w:rPr>
              <w:t>Output: Seniors Programs and Participation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Supported Residential Services Outreach and Assistance Program (SRS OAP) has two service objectives:</w:t>
      </w:r>
      <w:r>
        <w:br/>
      </w:r>
      <w:r>
        <w:br/>
      </w:r>
      <w:r>
        <w:rPr>
          <w:rFonts w:ascii="Arial" w:hAnsi="Arial" w:eastAsia="Arial" w:cs="Arial"/>
          <w:color w:val="000000"/>
          <w:sz w:val="20"/>
        </w:rPr>
        <w:t xml:space="preserve">1.  Support the health and wellbeing of people living in pension-level SRS, and </w:t>
      </w:r>
      <w:r>
        <w:br/>
      </w:r>
      <w:r>
        <w:rPr>
          <w:rFonts w:ascii="Arial" w:hAnsi="Arial" w:eastAsia="Arial" w:cs="Arial"/>
          <w:color w:val="000000"/>
          <w:sz w:val="20"/>
        </w:rPr>
        <w:t>2.  To maintain a supply of low-cost accommodation for low-income Victorians who need assistance with the activities of daily living.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SRS Support Funding activity provides three lines of funding for pension-level SRS that are designed to support resident-focussed improvements in pension-level SRS:</w:t>
      </w:r>
      <w:r>
        <w:br/>
      </w:r>
      <w:r>
        <w:br/>
      </w:r>
      <w:r>
        <w:rPr>
          <w:rFonts w:ascii="Arial" w:hAnsi="Arial" w:eastAsia="Arial" w:cs="Arial"/>
          <w:color w:val="000000"/>
          <w:sz w:val="20"/>
        </w:rPr>
        <w:t>- Facility Cost Relief - a financial supplement to support pension-level SRS to maintain a supply of pension-level</w:t>
      </w:r>
      <w:r>
        <w:br/>
      </w:r>
      <w:r>
        <w:rPr>
          <w:rFonts w:ascii="Arial" w:hAnsi="Arial" w:eastAsia="Arial" w:cs="Arial"/>
          <w:color w:val="000000"/>
          <w:sz w:val="20"/>
        </w:rPr>
        <w:t xml:space="preserve">   beds.</w:t>
      </w:r>
      <w:r>
        <w:br/>
      </w:r>
      <w:r>
        <w:rPr>
          <w:rFonts w:ascii="Arial" w:hAnsi="Arial" w:eastAsia="Arial" w:cs="Arial"/>
          <w:color w:val="000000"/>
          <w:sz w:val="20"/>
        </w:rPr>
        <w:t>- Amenity and Safety funding – to support physical amenity and safety improvements in SRS, increased SRS staff</w:t>
      </w:r>
      <w:r>
        <w:br/>
      </w:r>
      <w:r>
        <w:rPr>
          <w:rFonts w:ascii="Arial" w:hAnsi="Arial" w:eastAsia="Arial" w:cs="Arial"/>
          <w:color w:val="000000"/>
          <w:sz w:val="20"/>
        </w:rPr>
        <w:t xml:space="preserve">   training, and resident activities.</w:t>
      </w:r>
      <w:r>
        <w:br/>
      </w:r>
      <w:r>
        <w:rPr>
          <w:rFonts w:ascii="Arial" w:hAnsi="Arial" w:eastAsia="Arial" w:cs="Arial"/>
          <w:color w:val="000000"/>
          <w:sz w:val="20"/>
        </w:rPr>
        <w:t>- Fresh Food funding – to support the availability and access to fresh food for residents of pension-level SRS.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registered pension-level SRSs. Pension-level SRS residents are people living with a disability, mental health issues and people,who have unmet complex needs and unmanaged behaviours.</w:t>
      </w:r>
      <w:r>
        <w:br/>
      </w:r>
      <w:r>
        <w:br/>
      </w:r>
      <w:r>
        <w:rPr>
          <w:rFonts w:ascii="Arial" w:hAnsi="Arial" w:eastAsia="Arial" w:cs="Arial"/>
          <w:color w:val="000000"/>
          <w:sz w:val="20"/>
        </w:rPr>
        <w:t>Obligations specific to this activity</w:t>
      </w:r>
      <w:r>
        <w:br/>
      </w:r>
      <w:r>
        <w:rPr>
          <w:rFonts w:ascii="Arial" w:hAnsi="Arial" w:eastAsia="Arial" w:cs="Arial"/>
          <w:color w:val="000000"/>
          <w:sz w:val="20"/>
        </w:rPr>
        <w:t xml:space="preserve">In addition to the obligations listed in the Service Agreement, organisations funded to deliver this activity must comply with the following: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Supported residential service outreach and assistance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&lt;https://fac.dffh.vic.gov.au/supported-residential-services-outreach-and-assistance-programguidelines&gt;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Supported residential service outreach and assistance program requirements for funded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&lt;https://fac/dffh.vic.gov.au/supported-residential-services-outreach-and-assistance-program-requirements-for-funded-organisations&gt;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units: Allocated Amenity and Safety is distributed to SRS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Amenity and Safety is distributed to individual SRS per the program area funding schedule and accounts for SRS registered bed changes and closures during the financial year.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program area provides the funded organisation an annual funding schedule that confirms current Amenity and Safety base units (registered beds) per SRS. This funding schedule may be subject to change if an SRS closes or registered bed numbers change. The program area will provide timely advice on changes.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SRS OAP Expenditure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Amenity and Safety Units: Amenity and Safety is calculated on a unit price per Amenity and Safety base unit (registered beds) per SRS.  The program area confirms the number of Amenity and Safety base units per SRS per year and this is reflected in the annual program area funding schedule.</w:t>
            </w:r>
            <w:r>
              <w:br/>
            </w:r>
            <w:r>
              <w:br/>
            </w:r>
            <w:r>
              <w:rPr>
                <w:rFonts w:ascii="Arial" w:hAnsi="Arial" w:eastAsia="Arial" w:cs="Arial"/>
                <w:color w:val="000000"/>
                <w:sz w:val="20"/>
              </w:rPr>
              <w:t>Registered bed changes: The Social Services Regulator maintains the register of all currently operating SRS and associated registered bed numbers and notifies the program area of any registration changes and subsequent changes to Amenity and Safety base units.</w:t>
            </w:r>
            <w:r>
              <w:br/>
            </w:r>
            <w:r>
              <w:rPr>
                <w:rFonts w:ascii="Arial" w:hAnsi="Arial" w:eastAsia="Arial" w:cs="Arial"/>
                <w:color w:val="000000"/>
                <w:sz w:val="20"/>
              </w:rPr>
              <w:t>Purchasing rules for Amenity and Safety funds are contained in program guidelines.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units: Allocated Facility Cost Relief is distributed to SRS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Facility Cost Relief is distributed to individual SRS per the program area funding schedule and accounts for SRS registered bed changes and closures during the financial year.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program area provides the funded organisation an annual funding schedule that confirms current Facility Cost Relief base units (beds) per SRS. This funding schedule may be subject to change if an SRS closes or registered bed numbers change. The program area will provide timely advice on changes.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SRS OAP Expenditure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Facility Cost Relief (FCR) Units: Facility Cost Relief is calculated on a unit price per Facility Cost Relief base unit (FCR bed) per SRS, up to a maximum of 33.33 units per SRS. The program area determines the number of Facility Cost Relief base units per SRS per year and this is reflected in the annual program area funding schedule.</w:t>
            </w:r>
            <w:r>
              <w:br/>
            </w:r>
            <w:r>
              <w:br/>
            </w:r>
            <w:r>
              <w:rPr>
                <w:rFonts w:ascii="Arial" w:hAnsi="Arial" w:eastAsia="Arial" w:cs="Arial"/>
                <w:color w:val="000000"/>
                <w:sz w:val="20"/>
              </w:rPr>
              <w:t>Registered bed changes: The Social Services Regulator maintains the register of all currently operating SRS and associated registered bed numbers and notifies the program area of any registration changes or closures.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units: Allocated Fresh Food Funding is distributed to SRS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Fresh Food funds are distributed to individual SRS per the program area funding schedule and accounts for SRS registered bed changes and closures during the financial year.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program area provides the funded organisation an annual funding schedule that confirms current Fresh Food base units (registered beds) per SRS. This funding schedule may be subject to change if an SRS closes or registered bed numbers change. The program area will provide timely advice on changes.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SRS OAP Expenditure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Fresh Food Units: Fresh Food funding is calculated on a unit price per Fresh Food base unit (registered beds) per SRS.  The program area confirms the number of Fresh Food base units per SRS per year and this is reflected in the annual program area funding schedule.</w:t>
            </w:r>
            <w:r>
              <w:br/>
            </w:r>
            <w:r>
              <w:br/>
            </w:r>
            <w:r>
              <w:rPr>
                <w:rFonts w:ascii="Arial" w:hAnsi="Arial" w:eastAsia="Arial" w:cs="Arial"/>
                <w:color w:val="000000"/>
                <w:sz w:val="20"/>
              </w:rPr>
              <w:t>Registered bed changes: The Social Services Regulator maintains the register of all currently operating SRS and associated registered bed numbers and notifies the program area of any registration changes and subsequent changes to Fresh Food base units.</w:t>
            </w:r>
            <w:r>
              <w:br/>
            </w:r>
            <w:r>
              <w:rPr>
                <w:rFonts w:ascii="Arial" w:hAnsi="Arial" w:eastAsia="Arial" w:cs="Arial"/>
                <w:color w:val="000000"/>
                <w:sz w:val="20"/>
              </w:rPr>
              <w:t>Purchasing rules for Fresh Food funds are contained program guidelines.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SRS OAP Expenditure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SRS OAP Acquittal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Empowering Individuals and Communities 37414 SRS Support Funding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