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AD" w:rsidRDefault="004914E8">
      <w:pPr>
        <w:spacing w:before="100" w:line="288" w:lineRule="auto"/>
        <w:ind w:left="-699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9935AD">
        <w:tc>
          <w:tcPr>
            <w:tcW w:w="10206" w:type="dxa"/>
            <w:shd w:val="clear" w:color="auto" w:fill="FFFFFF"/>
            <w:vAlign w:val="bottom"/>
          </w:tcPr>
          <w:p w:rsidR="009935AD" w:rsidRDefault="009935AD">
            <w:pPr>
              <w:spacing w:line="560" w:lineRule="atLeast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9935AD" w:rsidRDefault="004914E8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Information and Lifelong Learning</w:t>
            </w:r>
          </w:p>
          <w:p w:rsidR="009935AD" w:rsidRDefault="004914E8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37405</w:t>
            </w:r>
          </w:p>
        </w:tc>
      </w:tr>
      <w:tr w:rsidR="009935AD">
        <w:tc>
          <w:tcPr>
            <w:tcW w:w="10206" w:type="dxa"/>
            <w:shd w:val="clear" w:color="auto" w:fill="FFFFFF"/>
          </w:tcPr>
          <w:p w:rsidR="009935AD" w:rsidRDefault="004914E8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Outcome objective: Victorians are safe and secure</w:t>
            </w:r>
          </w:p>
          <w:p w:rsidR="009935AD" w:rsidRDefault="004914E8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Empowering Individuals and Communities</w:t>
            </w:r>
          </w:p>
          <w:p w:rsidR="009935AD" w:rsidRDefault="004914E8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Seniors Programs and Participation</w:t>
            </w:r>
          </w:p>
        </w:tc>
      </w:tr>
    </w:tbl>
    <w:p w:rsidR="009935AD" w:rsidRDefault="004914E8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:rsidR="009935AD" w:rsidRDefault="004914E8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1. Service objective</w:t>
      </w:r>
    </w:p>
    <w:p w:rsidR="009935AD" w:rsidRDefault="004914E8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and programs for seniors </w:t>
      </w:r>
      <w:r>
        <w:rPr>
          <w:rFonts w:ascii="Arial" w:eastAsia="Arial" w:hAnsi="Arial" w:cs="Arial"/>
          <w:color w:val="000000"/>
          <w:sz w:val="20"/>
        </w:rPr>
        <w:t>information and support.</w:t>
      </w:r>
    </w:p>
    <w:p w:rsidR="009935AD" w:rsidRDefault="004914E8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2. Description of the service</w:t>
      </w:r>
    </w:p>
    <w:p w:rsidR="009935AD" w:rsidRDefault="004914E8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Related projects under this description are the U3A Growth Strategy and the Seniors Information Victora service auspiced by Council on the Ageing. Projects provide relevant and easy to understand infor</w:t>
      </w:r>
      <w:r>
        <w:rPr>
          <w:rFonts w:ascii="Arial" w:eastAsia="Arial" w:hAnsi="Arial" w:cs="Arial"/>
          <w:color w:val="000000"/>
          <w:sz w:val="20"/>
        </w:rPr>
        <w:t>mation to seniors on issues that are of concern to them.</w:t>
      </w:r>
    </w:p>
    <w:p w:rsidR="009935AD" w:rsidRDefault="004914E8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3. Client group</w:t>
      </w:r>
    </w:p>
    <w:p w:rsidR="009935AD" w:rsidRDefault="004914E8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client group this activity is targeted at is Older people.</w:t>
      </w:r>
    </w:p>
    <w:p w:rsidR="009935AD" w:rsidRDefault="004914E8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4. Obligations specific to this activity</w:t>
      </w:r>
    </w:p>
    <w:p w:rsidR="009935AD" w:rsidRDefault="004914E8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organisations </w:t>
      </w:r>
      <w:r>
        <w:rPr>
          <w:rFonts w:ascii="Arial" w:eastAsia="Arial" w:hAnsi="Arial" w:cs="Arial"/>
          <w:color w:val="000000"/>
          <w:sz w:val="20"/>
        </w:rPr>
        <w:t>funded to deliver this activity must comply with the following:</w:t>
      </w:r>
    </w:p>
    <w:p w:rsidR="009935AD" w:rsidRDefault="004914E8">
      <w:pPr>
        <w:spacing w:before="240" w:after="90" w:line="320" w:lineRule="atLeast"/>
        <w:ind w:left="111" w:right="105"/>
        <w:rPr>
          <w:rFonts w:ascii="Arial" w:eastAsia="Arial" w:hAnsi="Arial" w:cs="Arial"/>
          <w:b/>
          <w:bCs/>
          <w:color w:val="201547"/>
        </w:rPr>
      </w:pPr>
      <w:r>
        <w:rPr>
          <w:rFonts w:ascii="Arial" w:eastAsia="Arial" w:hAnsi="Arial" w:cs="Arial"/>
          <w:b/>
          <w:bCs/>
          <w:color w:val="201547"/>
        </w:rPr>
        <w:t>4a. Registration and Accreditation</w:t>
      </w:r>
    </w:p>
    <w:p w:rsidR="009935AD" w:rsidRDefault="004914E8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:rsidR="009935AD" w:rsidRDefault="004914E8">
      <w:pPr>
        <w:spacing w:before="240" w:after="90" w:line="320" w:lineRule="atLeast"/>
        <w:ind w:left="111" w:righ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201547"/>
        </w:rPr>
        <w:t>4b. Program requirements and other policy guidelines</w:t>
      </w:r>
    </w:p>
    <w:p w:rsidR="009935AD" w:rsidRDefault="004914E8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:rsidR="009935AD" w:rsidRDefault="009935AD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:rsidR="009935AD" w:rsidRDefault="004914E8">
      <w:pPr>
        <w:spacing w:before="320" w:after="200" w:line="44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5. Performance</w:t>
      </w:r>
    </w:p>
    <w:p w:rsidR="009935AD" w:rsidRDefault="004914E8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lastRenderedPageBreak/>
        <w:t xml:space="preserve">Funding is subject to achieving the performance targets specified in Schedule 2 </w:t>
      </w:r>
      <w:r>
        <w:rPr>
          <w:rFonts w:ascii="Arial" w:eastAsia="Arial" w:hAnsi="Arial" w:cs="Arial"/>
          <w:color w:val="000000"/>
          <w:sz w:val="20"/>
        </w:rPr>
        <w:t xml:space="preserve">of the Service Agreement. </w:t>
      </w:r>
    </w:p>
    <w:p w:rsidR="009935AD" w:rsidRDefault="004914E8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:rsidR="009935AD" w:rsidRDefault="004914E8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1: Provide a report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9935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To report on the number of projects delivered</w:t>
            </w:r>
          </w:p>
        </w:tc>
      </w:tr>
      <w:tr w:rsidR="009935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9935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 xml:space="preserve">Type of </w:t>
            </w: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9935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Number of projects/programs/participants within the six month and year</w:t>
            </w:r>
          </w:p>
        </w:tc>
      </w:tr>
      <w:tr w:rsidR="009935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Service reports from U3A</w:t>
            </w:r>
          </w:p>
          <w:p w:rsidR="009935AD" w:rsidRDefault="004914E8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Seniors Information Victoria</w:t>
            </w:r>
          </w:p>
        </w:tc>
      </w:tr>
      <w:tr w:rsidR="009935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Projects delivered within U3A Growth Strategy, </w:t>
            </w:r>
            <w:r>
              <w:rPr>
                <w:rFonts w:ascii="Arial" w:eastAsia="Arial" w:hAnsi="Arial" w:cs="Arial"/>
                <w:color w:val="000000"/>
                <w:sz w:val="20"/>
              </w:rPr>
              <w:t>Commissioner for Senior Victorians communications and the Seniors Information Victora service auspiced by Council on the Ageing</w:t>
            </w:r>
          </w:p>
        </w:tc>
      </w:tr>
    </w:tbl>
    <w:p w:rsidR="009935AD" w:rsidRDefault="004914E8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6. Data collection</w:t>
      </w:r>
    </w:p>
    <w:p w:rsidR="009935AD" w:rsidRDefault="004914E8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9935AD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 xml:space="preserve">Reporting </w:t>
            </w: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cycle</w:t>
            </w:r>
          </w:p>
        </w:tc>
      </w:tr>
      <w:tr w:rsidR="009935AD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Service reports from U3A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Number of projects/programs/participants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Half-yearly</w:t>
            </w:r>
          </w:p>
        </w:tc>
      </w:tr>
      <w:tr w:rsidR="009935AD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Seniors Information Victoria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Number of projects/programs/participants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5AD" w:rsidRDefault="004914E8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Half-yearly</w:t>
            </w:r>
          </w:p>
        </w:tc>
      </w:tr>
    </w:tbl>
    <w:p w:rsidR="009935AD" w:rsidRDefault="009935AD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935AD">
        <w:trPr>
          <w:cantSplit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To receive this publication in an accessible format </w:t>
            </w:r>
            <w:r>
              <w:rPr>
                <w:rFonts w:ascii="Arial" w:eastAsia="Arial" w:hAnsi="Arial" w:cs="Arial"/>
                <w:color w:val="000000"/>
                <w:sz w:val="20"/>
              </w:rPr>
              <w:t>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Service Agreement Strategy and Practice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hyperlink r:id="rId8" w:tgtFrame="_blank" w:history="1">
              <w:r>
                <w:rPr>
                  <w:rFonts w:ascii="Arial" w:eastAsia="Arial" w:hAnsi="Arial" w:cs="Arial"/>
                  <w:color w:val="3366FF"/>
                  <w:sz w:val="24"/>
                </w:rPr>
                <w:t>&lt;sapolicy@dffh.vic.gov.au</w:t>
              </w:r>
            </w:hyperlink>
            <w:r>
              <w:rPr>
                <w:rFonts w:ascii="Arial" w:eastAsia="Arial" w:hAnsi="Arial" w:cs="Arial"/>
                <w:color w:val="000000"/>
                <w:sz w:val="24"/>
              </w:rPr>
              <w:t>&gt;</w:t>
            </w:r>
          </w:p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Authorised and published by the Victorian Government, 1 Treasury Place,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Melbourne.</w:t>
            </w:r>
          </w:p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© State of Victoria, Australia, Department of Families, Fairness and Housing, July 2021. </w:t>
            </w:r>
          </w:p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</w:t>
            </w:r>
            <w:r>
              <w:rPr>
                <w:rFonts w:ascii="Arial" w:eastAsia="Arial" w:hAnsi="Arial" w:cs="Arial"/>
                <w:color w:val="000000"/>
                <w:sz w:val="16"/>
              </w:rPr>
              <w:t>tle of a report, program or quotation.</w:t>
            </w:r>
          </w:p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2653-0929 – Online (PDF/Word)</w:t>
            </w:r>
          </w:p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:rsidR="009935AD" w:rsidRDefault="004914E8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9" w:tgtFrame="_blank" w:history="1">
              <w:r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:rsidR="009935AD" w:rsidRDefault="009935AD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1" w:name="page_total_master0"/>
      <w:bookmarkStart w:id="2" w:name="page_total"/>
      <w:bookmarkEnd w:id="1"/>
      <w:bookmarkEnd w:id="2"/>
    </w:p>
    <w:sectPr w:rsidR="009935AD"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14E8">
      <w:r>
        <w:separator/>
      </w:r>
    </w:p>
  </w:endnote>
  <w:endnote w:type="continuationSeparator" w:id="0">
    <w:p w:rsidR="00000000" w:rsidRDefault="0049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AD" w:rsidRDefault="004914E8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692"/>
    </w:tblGrid>
    <w:tr w:rsidR="009935AD">
      <w:tc>
        <w:tcPr>
          <w:tcW w:w="3473" w:type="dxa"/>
          <w:shd w:val="clear" w:color="auto" w:fill="FFFFFF"/>
        </w:tcPr>
        <w:p w:rsidR="009935AD" w:rsidRDefault="009935AD">
          <w:pPr>
            <w:ind w:left="108" w:right="108"/>
          </w:pPr>
        </w:p>
      </w:tc>
      <w:tc>
        <w:tcPr>
          <w:tcW w:w="3473" w:type="dxa"/>
          <w:shd w:val="clear" w:color="auto" w:fill="FFFFFF"/>
          <w:vAlign w:val="bottom"/>
        </w:tcPr>
        <w:p w:rsidR="009935AD" w:rsidRDefault="004914E8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 w:rsidR="009935AD" w:rsidRDefault="004914E8"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  <w:p w:rsidR="009935AD" w:rsidRDefault="004914E8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  <w:lang w:eastAsia="en-US"/>
            </w:rPr>
            <w:drawing>
              <wp:inline distT="0" distB="0" distL="0" distR="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935AD" w:rsidRDefault="009935AD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3"/>
    </w:tblGrid>
    <w:tr w:rsidR="009935AD">
      <w:tc>
        <w:tcPr>
          <w:tcW w:w="3473" w:type="dxa"/>
          <w:shd w:val="clear" w:color="auto" w:fill="FFFFFF"/>
        </w:tcPr>
        <w:p w:rsidR="009935AD" w:rsidRDefault="009935AD">
          <w:pPr>
            <w:ind w:left="108" w:right="108"/>
          </w:pPr>
        </w:p>
      </w:tc>
      <w:tc>
        <w:tcPr>
          <w:tcW w:w="3473" w:type="dxa"/>
          <w:shd w:val="clear" w:color="auto" w:fill="FFFFFF"/>
          <w:vAlign w:val="bottom"/>
        </w:tcPr>
        <w:p w:rsidR="009935AD" w:rsidRDefault="004914E8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 w:rsidR="009935AD" w:rsidRDefault="004914E8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  <w:lang w:eastAsia="en-US"/>
            </w:rPr>
            <w:drawing>
              <wp:inline distT="0" distB="0" distL="0" distR="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935AD" w:rsidRDefault="004914E8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14E8">
      <w:r>
        <w:separator/>
      </w:r>
    </w:p>
  </w:footnote>
  <w:footnote w:type="continuationSeparator" w:id="0">
    <w:p w:rsidR="00000000" w:rsidRDefault="0049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AD" w:rsidRDefault="004914E8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Empowering Individuals and Communities 37405 Information and Lifelong </w:t>
    </w:r>
    <w:r>
      <w:rPr>
        <w:rFonts w:ascii="Arial" w:eastAsia="Arial" w:hAnsi="Arial" w:cs="Arial"/>
        <w:color w:val="000000"/>
        <w:sz w:val="18"/>
      </w:rPr>
      <w:t>Learning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:rsidR="009935AD" w:rsidRDefault="009935AD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AD" w:rsidRDefault="009935AD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A2F"/>
    <w:multiLevelType w:val="hybridMultilevel"/>
    <w:tmpl w:val="3F1448A0"/>
    <w:lvl w:ilvl="0" w:tplc="90989032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3838262A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98A8049E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5D646258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3B50E21E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2B30267A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A4A2719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D882965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C8CCB77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" w15:restartNumberingAfterBreak="0">
    <w:nsid w:val="07C70754"/>
    <w:multiLevelType w:val="hybridMultilevel"/>
    <w:tmpl w:val="B6E61306"/>
    <w:lvl w:ilvl="0" w:tplc="52F0558C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4B0EA6BC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E8EC3336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26E470C6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C10C6B88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CBCAB19E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7AC2DCE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95B01E2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DC124FFE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105F35DC"/>
    <w:multiLevelType w:val="hybridMultilevel"/>
    <w:tmpl w:val="0338B4A4"/>
    <w:lvl w:ilvl="0" w:tplc="9FCCFD66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FFB08A16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F1923580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D7429528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CAA46A44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33744E0C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790AE96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D4CC439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41F491C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110D5975"/>
    <w:multiLevelType w:val="hybridMultilevel"/>
    <w:tmpl w:val="352073CA"/>
    <w:lvl w:ilvl="0" w:tplc="85242E5E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2CF8973A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088EAB6A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6B949DD0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C0AAD8B4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FDA09184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05D8AC36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283E3B66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13FE5520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4" w15:restartNumberingAfterBreak="0">
    <w:nsid w:val="2C002A04"/>
    <w:multiLevelType w:val="hybridMultilevel"/>
    <w:tmpl w:val="26E0BA34"/>
    <w:lvl w:ilvl="0" w:tplc="F9BC25D8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54E070A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E21A87A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6A20EC9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87A2B308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D47AF2C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FEB409E2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60782FF8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AD340FC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5" w15:restartNumberingAfterBreak="0">
    <w:nsid w:val="34487E9D"/>
    <w:multiLevelType w:val="hybridMultilevel"/>
    <w:tmpl w:val="5452308C"/>
    <w:lvl w:ilvl="0" w:tplc="DC38D26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63F04A56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2EFE0DEE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A60EF50C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51B2AAA2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AE5479F8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B622EB28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05C25B0E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7EDC3240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6" w15:restartNumberingAfterBreak="0">
    <w:nsid w:val="38C346CD"/>
    <w:multiLevelType w:val="hybridMultilevel"/>
    <w:tmpl w:val="D89EBFB2"/>
    <w:lvl w:ilvl="0" w:tplc="9E886EC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B5FAA948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A99C7594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92009F8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BC20AE2A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FC2E06FA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6F289C8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37CCE3DC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FFF030D0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7" w15:restartNumberingAfterBreak="0">
    <w:nsid w:val="3E9B711B"/>
    <w:multiLevelType w:val="hybridMultilevel"/>
    <w:tmpl w:val="C93486CA"/>
    <w:lvl w:ilvl="0" w:tplc="62BA017A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0414AD4C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D7F43E26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CA9E985E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C6649C86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33C43B7A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2A3001BA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9FBC6D6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940C36C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403C6F0A"/>
    <w:multiLevelType w:val="hybridMultilevel"/>
    <w:tmpl w:val="57140FB2"/>
    <w:lvl w:ilvl="0" w:tplc="802A3A34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5E5C8B3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CE844874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17BCD3AC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1BA8867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E0E828A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6600A48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F1167EF2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6A38499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9" w15:restartNumberingAfterBreak="0">
    <w:nsid w:val="42FA376D"/>
    <w:multiLevelType w:val="hybridMultilevel"/>
    <w:tmpl w:val="21C25612"/>
    <w:lvl w:ilvl="0" w:tplc="75B06DFE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2EDC3A16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EC589066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0B983F4A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6DDCF620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CCAED93A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4454CA10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46045CEC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3EDA9356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50FA5094"/>
    <w:multiLevelType w:val="hybridMultilevel"/>
    <w:tmpl w:val="FF3E7B26"/>
    <w:lvl w:ilvl="0" w:tplc="F55EDFF8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DA522DDC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C80E6E98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2C38D74C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2640E3F6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046E4A06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4498ECBE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E0BC091C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F176EC5E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1" w15:restartNumberingAfterBreak="0">
    <w:nsid w:val="57E94B3D"/>
    <w:multiLevelType w:val="hybridMultilevel"/>
    <w:tmpl w:val="6BAC2BC4"/>
    <w:lvl w:ilvl="0" w:tplc="81D8E2F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E1783840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4AAE53C8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74324376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86A87E86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41A253AE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9030FBEA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EA3C9310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7B946B70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2" w15:restartNumberingAfterBreak="0">
    <w:nsid w:val="5E522A2D"/>
    <w:multiLevelType w:val="hybridMultilevel"/>
    <w:tmpl w:val="9924970E"/>
    <w:lvl w:ilvl="0" w:tplc="9AECC2DC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EB584952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63B80952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04A69E02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3B3A851E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5864776A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995E5AE6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8CD8D9E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65D8762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67EA4A26"/>
    <w:multiLevelType w:val="hybridMultilevel"/>
    <w:tmpl w:val="8D3CE00A"/>
    <w:lvl w:ilvl="0" w:tplc="95B49E5E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E6AA9ADE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B516A3E0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5A26FD4C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D3180138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4134D8F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346C859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E0828248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6A047F78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4" w15:restartNumberingAfterBreak="0">
    <w:nsid w:val="7EB83CB0"/>
    <w:multiLevelType w:val="hybridMultilevel"/>
    <w:tmpl w:val="B7001258"/>
    <w:lvl w:ilvl="0" w:tplc="0140481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0878517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AF528A2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429A7A3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83A86648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2E24997A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52AE3FBE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C07AA4D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4A60CC7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3"/>
  </w:num>
  <w:num w:numId="9">
    <w:abstractNumId w:val="14"/>
  </w:num>
  <w:num w:numId="10">
    <w:abstractNumId w:val="9"/>
  </w:num>
  <w:num w:numId="11">
    <w:abstractNumId w:val="11"/>
  </w:num>
  <w:num w:numId="12">
    <w:abstractNumId w:val="1"/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2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AD"/>
    <w:rsid w:val="004914E8"/>
    <w:rsid w:val="0099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AA7D6-EB41-4AC1-A49A-E1B343C2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olicy@dffh.vic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oviders.dffh.vic.gov.au/families-fairness-housing-health-activity-searc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2321</Characters>
  <Application>Microsoft Office Word</Application>
  <DocSecurity>0</DocSecurity>
  <Lines>72</Lines>
  <Paragraphs>56</Paragraphs>
  <ScaleCrop>false</ScaleCrop>
  <Company>Victoria State Government, Department of Health, Department of Families, Fairness and Housing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Information and Lifelong Learning 37405</dc:title>
  <dc:subject>service agreement activity descriptions</dc:subject>
  <dc:creator>Service Agreement Policy Unit</dc:creator>
  <cp:keywords>service agreement; activity description; health; families, fairness and housing;</cp:keywords>
  <dc:description>Generated by Oracle BI Publisher 12.2.1.3.0</dc:description>
  <cp:lastModifiedBy>p-rsams-siebelsrvacc</cp:lastModifiedBy>
  <cp:revision>3</cp:revision>
  <dcterms:created xsi:type="dcterms:W3CDTF">2013-02-11T20:57:00Z</dcterms:created>
  <dcterms:modified xsi:type="dcterms:W3CDTF">2021-07-01T16:08:00Z</dcterms:modified>
</cp:coreProperties>
</file>