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FC2" w:rsidRDefault="009535CC">
      <w:pPr>
        <w:spacing w:before="100" w:line="288" w:lineRule="auto"/>
        <w:ind w:left="-699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>
            <wp:extent cx="7516494" cy="13249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494" cy="132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912FC2">
        <w:tc>
          <w:tcPr>
            <w:tcW w:w="10206" w:type="dxa"/>
            <w:shd w:val="clear" w:color="auto" w:fill="FFFFFF"/>
            <w:vAlign w:val="bottom"/>
          </w:tcPr>
          <w:p w:rsidR="00912FC2" w:rsidRDefault="00912FC2">
            <w:pPr>
              <w:spacing w:line="560" w:lineRule="atLeast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912FC2" w:rsidRDefault="009535CC">
            <w:pPr>
              <w:spacing w:line="560" w:lineRule="atLeast"/>
              <w:rPr>
                <w:rFonts w:ascii="Arial" w:eastAsia="Arial" w:hAnsi="Arial" w:cs="Arial"/>
                <w:color w:val="201547"/>
                <w:sz w:val="44"/>
              </w:rPr>
            </w:pPr>
            <w:r>
              <w:rPr>
                <w:rFonts w:ascii="Arial" w:eastAsia="Arial" w:hAnsi="Arial" w:cs="Arial"/>
                <w:color w:val="201547"/>
                <w:sz w:val="44"/>
              </w:rPr>
              <w:t>Victorian Seniors Festival</w:t>
            </w:r>
          </w:p>
          <w:p w:rsidR="00912FC2" w:rsidRDefault="009535CC">
            <w:pPr>
              <w:spacing w:line="560" w:lineRule="atLeast"/>
              <w:rPr>
                <w:rFonts w:ascii="Arial" w:eastAsia="Arial" w:hAnsi="Arial" w:cs="Arial"/>
                <w:color w:val="201547"/>
                <w:sz w:val="44"/>
              </w:rPr>
            </w:pPr>
            <w:r>
              <w:rPr>
                <w:rFonts w:ascii="Arial" w:eastAsia="Arial" w:hAnsi="Arial" w:cs="Arial"/>
                <w:color w:val="201547"/>
                <w:sz w:val="44"/>
              </w:rPr>
              <w:t>37401</w:t>
            </w:r>
          </w:p>
        </w:tc>
      </w:tr>
      <w:tr w:rsidR="00912FC2">
        <w:tc>
          <w:tcPr>
            <w:tcW w:w="10206" w:type="dxa"/>
            <w:shd w:val="clear" w:color="auto" w:fill="FFFFFF"/>
          </w:tcPr>
          <w:p w:rsidR="00912FC2" w:rsidRDefault="009535CC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Outcome objective: Victorians are safe and secure</w:t>
            </w:r>
          </w:p>
          <w:p w:rsidR="00912FC2" w:rsidRDefault="009535CC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Output group: Empowering Individuals and Communities</w:t>
            </w:r>
          </w:p>
          <w:p w:rsidR="00912FC2" w:rsidRDefault="009535CC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Output: Seniors Programs and Participation</w:t>
            </w:r>
          </w:p>
        </w:tc>
      </w:tr>
    </w:tbl>
    <w:p w:rsidR="00912FC2" w:rsidRDefault="009535CC">
      <w:pPr>
        <w:spacing w:line="560" w:lineRule="atLeast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b/>
          <w:bCs/>
          <w:color w:val="000000"/>
          <w:sz w:val="20"/>
        </w:rPr>
        <w:t>OFFICIAL</w:t>
      </w:r>
    </w:p>
    <w:p w:rsidR="00912FC2" w:rsidRDefault="009535CC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1. Service objective</w:t>
      </w:r>
    </w:p>
    <w:p w:rsidR="00912FC2" w:rsidRDefault="009535CC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To support events and activities associated with the Victorian Seniors Festival by the provision of Victorian Seniors Festival Active Living grants to each Victorian council. </w:t>
      </w:r>
      <w:r>
        <w:br/>
      </w:r>
      <w:r>
        <w:rPr>
          <w:rFonts w:ascii="Arial" w:eastAsia="Arial" w:hAnsi="Arial" w:cs="Arial"/>
          <w:color w:val="000000"/>
          <w:sz w:val="20"/>
        </w:rPr>
        <w:t>Older Victorians have the opportunity to participate in Victorian Seniors Festiv</w:t>
      </w:r>
      <w:r>
        <w:rPr>
          <w:rFonts w:ascii="Arial" w:eastAsia="Arial" w:hAnsi="Arial" w:cs="Arial"/>
          <w:color w:val="000000"/>
          <w:sz w:val="20"/>
        </w:rPr>
        <w:t>al events in their local area.</w:t>
      </w:r>
      <w:r>
        <w:br/>
      </w:r>
      <w:r>
        <w:rPr>
          <w:rFonts w:ascii="Arial" w:eastAsia="Arial" w:hAnsi="Arial" w:cs="Arial"/>
          <w:color w:val="000000"/>
          <w:sz w:val="20"/>
        </w:rPr>
        <w:t>Older Victorians, particularly those disadvantaged by social and geographic isolation.</w:t>
      </w:r>
      <w:r>
        <w:br/>
      </w:r>
      <w:r>
        <w:rPr>
          <w:rFonts w:ascii="Arial" w:eastAsia="Arial" w:hAnsi="Arial" w:cs="Arial"/>
          <w:color w:val="000000"/>
          <w:sz w:val="20"/>
        </w:rPr>
        <w:t xml:space="preserve">Opportunities for older Victorians to engage in local Victorian Seniors Festival events and in doing so to try new activities and better </w:t>
      </w:r>
      <w:r>
        <w:rPr>
          <w:rFonts w:ascii="Arial" w:eastAsia="Arial" w:hAnsi="Arial" w:cs="Arial"/>
          <w:color w:val="000000"/>
          <w:sz w:val="20"/>
        </w:rPr>
        <w:t>engage with their community.</w:t>
      </w:r>
    </w:p>
    <w:p w:rsidR="00912FC2" w:rsidRDefault="009535CC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2. Description of the service</w:t>
      </w:r>
    </w:p>
    <w:p w:rsidR="00912FC2" w:rsidRDefault="009535CC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Councils funded to deliver this activity must comply with the grant funds to run, or support others to run, local</w:t>
      </w:r>
      <w:r>
        <w:br/>
      </w:r>
      <w:r>
        <w:rPr>
          <w:rFonts w:ascii="Arial" w:eastAsia="Arial" w:hAnsi="Arial" w:cs="Arial"/>
          <w:color w:val="000000"/>
          <w:sz w:val="20"/>
        </w:rPr>
        <w:t>Victorian Seniors Festival events and activities.</w:t>
      </w:r>
      <w:r>
        <w:br/>
      </w:r>
      <w:r>
        <w:rPr>
          <w:rFonts w:ascii="Arial" w:eastAsia="Arial" w:hAnsi="Arial" w:cs="Arial"/>
          <w:color w:val="000000"/>
          <w:sz w:val="20"/>
        </w:rPr>
        <w:t>Councils run, support and promote</w:t>
      </w:r>
      <w:r>
        <w:rPr>
          <w:rFonts w:ascii="Arial" w:eastAsia="Arial" w:hAnsi="Arial" w:cs="Arial"/>
          <w:color w:val="000000"/>
          <w:sz w:val="20"/>
        </w:rPr>
        <w:t xml:space="preserve"> Victorian Seniors Festival events and activities in October. </w:t>
      </w:r>
      <w:r>
        <w:br/>
      </w:r>
      <w:r>
        <w:rPr>
          <w:rFonts w:ascii="Arial" w:eastAsia="Arial" w:hAnsi="Arial" w:cs="Arial"/>
          <w:color w:val="000000"/>
          <w:sz w:val="20"/>
        </w:rPr>
        <w:t>Councils to provide an acquittal report after the annual Victorian Seniors Festival has concluded.</w:t>
      </w:r>
    </w:p>
    <w:p w:rsidR="00912FC2" w:rsidRDefault="009535CC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3. Client group</w:t>
      </w:r>
    </w:p>
    <w:p w:rsidR="00912FC2" w:rsidRDefault="009535CC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The client group this activity is targeted at is older Victorians, particularl</w:t>
      </w:r>
      <w:r>
        <w:rPr>
          <w:rFonts w:ascii="Arial" w:eastAsia="Arial" w:hAnsi="Arial" w:cs="Arial"/>
          <w:color w:val="000000"/>
          <w:sz w:val="20"/>
        </w:rPr>
        <w:t>y those disadvantaged by social and geographic isolation.</w:t>
      </w:r>
    </w:p>
    <w:p w:rsidR="00912FC2" w:rsidRDefault="009535CC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4. Obligations specific to this activity</w:t>
      </w:r>
    </w:p>
    <w:p w:rsidR="00912FC2" w:rsidRDefault="009535CC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In addition to the obligations listed in the Service Agreement, organisations funded to deliver this activity must comply with the following:</w:t>
      </w:r>
    </w:p>
    <w:p w:rsidR="00912FC2" w:rsidRDefault="009535CC">
      <w:pPr>
        <w:spacing w:before="240" w:after="90" w:line="320" w:lineRule="atLeast"/>
        <w:ind w:left="111" w:right="105"/>
        <w:rPr>
          <w:rFonts w:ascii="Arial" w:eastAsia="Arial" w:hAnsi="Arial" w:cs="Arial"/>
          <w:b/>
          <w:bCs/>
          <w:color w:val="201547"/>
        </w:rPr>
      </w:pPr>
      <w:r>
        <w:rPr>
          <w:rFonts w:ascii="Arial" w:eastAsia="Arial" w:hAnsi="Arial" w:cs="Arial"/>
          <w:b/>
          <w:bCs/>
          <w:color w:val="201547"/>
        </w:rPr>
        <w:t>4a. Registratio</w:t>
      </w:r>
      <w:r>
        <w:rPr>
          <w:rFonts w:ascii="Arial" w:eastAsia="Arial" w:hAnsi="Arial" w:cs="Arial"/>
          <w:b/>
          <w:bCs/>
          <w:color w:val="201547"/>
        </w:rPr>
        <w:t>n and Accreditation</w:t>
      </w:r>
    </w:p>
    <w:p w:rsidR="00912FC2" w:rsidRDefault="009535CC">
      <w:pPr>
        <w:spacing w:after="40"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N/A</w:t>
      </w:r>
    </w:p>
    <w:p w:rsidR="00912FC2" w:rsidRDefault="009535CC">
      <w:pPr>
        <w:spacing w:before="240" w:after="90" w:line="320" w:lineRule="atLeast"/>
        <w:ind w:left="111" w:right="1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201547"/>
        </w:rPr>
        <w:lastRenderedPageBreak/>
        <w:t>4b. Program requirements and other policy guidelines</w:t>
      </w:r>
    </w:p>
    <w:p w:rsidR="00912FC2" w:rsidRDefault="009535CC">
      <w:pPr>
        <w:spacing w:after="40"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N/A</w:t>
      </w:r>
    </w:p>
    <w:p w:rsidR="00912FC2" w:rsidRDefault="00912FC2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</w:p>
    <w:p w:rsidR="00912FC2" w:rsidRDefault="009535CC">
      <w:pPr>
        <w:spacing w:before="320" w:after="200" w:line="44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>5. Performance</w:t>
      </w:r>
    </w:p>
    <w:p w:rsidR="00912FC2" w:rsidRDefault="009535CC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Funding is subject to achieving the performance targets specified in Schedule 2 of the Service Agreement. </w:t>
      </w:r>
    </w:p>
    <w:p w:rsidR="00912FC2" w:rsidRDefault="009535CC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Performance is measured as follows: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p w:rsidR="00912FC2" w:rsidRDefault="009535CC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201547"/>
          <w:sz w:val="20"/>
        </w:rPr>
      </w:pPr>
      <w:r>
        <w:rPr>
          <w:rFonts w:ascii="Arial" w:eastAsia="Arial" w:hAnsi="Arial" w:cs="Arial"/>
          <w:b/>
          <w:bCs/>
          <w:color w:val="201547"/>
          <w:sz w:val="20"/>
        </w:rPr>
        <w:t>Key performance</w:t>
      </w:r>
      <w:r>
        <w:rPr>
          <w:rFonts w:ascii="Arial" w:eastAsia="Arial" w:hAnsi="Arial" w:cs="Arial"/>
          <w:b/>
          <w:bCs/>
          <w:color w:val="201547"/>
          <w:sz w:val="20"/>
        </w:rPr>
        <w:t xml:space="preserve"> measure 1: Provide a report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9"/>
      </w:tblGrid>
      <w:tr w:rsidR="00912FC2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FC2" w:rsidRDefault="009535C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FC2" w:rsidRDefault="009535C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To run, support and promote Victorian Seniors Festival events for local residents.</w:t>
            </w:r>
          </w:p>
        </w:tc>
      </w:tr>
      <w:tr w:rsidR="00912FC2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FC2" w:rsidRDefault="009535C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FC2" w:rsidRDefault="009535C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performance measure target is provided in the Service Agreement.</w:t>
            </w:r>
          </w:p>
        </w:tc>
      </w:tr>
      <w:tr w:rsidR="00912FC2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FC2" w:rsidRDefault="009535C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FC2" w:rsidRDefault="009535C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Cumulative</w:t>
            </w:r>
          </w:p>
        </w:tc>
      </w:tr>
      <w:tr w:rsidR="00912FC2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FC2" w:rsidRDefault="009535C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FC2" w:rsidRDefault="009535C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Individual events provide event details and attendance numbers to council. 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>Councils collate and add information on promotional activity undertaken.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>Presentation of 1 or more local Victorian Seniors Festival events</w:t>
            </w:r>
            <w:r>
              <w:br/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Numerical – events and attendances </w:t>
            </w:r>
            <w:r>
              <w:br/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>Che</w:t>
            </w:r>
            <w:r>
              <w:rPr>
                <w:rFonts w:ascii="Arial" w:eastAsia="Arial" w:hAnsi="Arial" w:cs="Arial"/>
                <w:color w:val="000000"/>
                <w:sz w:val="20"/>
              </w:rPr>
              <w:t>cklist – Victorian Seniors Festival branding utilised</w:t>
            </w:r>
            <w:r>
              <w:br/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Checklist - media and communications activities undertaken </w:t>
            </w:r>
          </w:p>
        </w:tc>
      </w:tr>
      <w:tr w:rsidR="00912FC2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FC2" w:rsidRDefault="009535C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FC2" w:rsidRDefault="009535CC">
            <w:pPr>
              <w:keepLines/>
              <w:numPr>
                <w:ilvl w:val="0"/>
                <w:numId w:val="13"/>
              </w:numPr>
              <w:spacing w:line="270" w:lineRule="atLeas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Victorian Seniors Festival Active Living grants program</w:t>
            </w:r>
          </w:p>
        </w:tc>
      </w:tr>
      <w:tr w:rsidR="00912FC2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FC2" w:rsidRDefault="009535C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FC2" w:rsidRDefault="009535C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Local events – provide name of event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>Attendance – provide attendance numbers per event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>Promotional activity – List use of Victorian Seniors Festival branding; list media and communications activities undertaken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>Acquittal report following the delivery of Festival events in October</w:t>
            </w:r>
          </w:p>
        </w:tc>
      </w:tr>
    </w:tbl>
    <w:p w:rsidR="00912FC2" w:rsidRDefault="009535CC">
      <w:pPr>
        <w:keepNext/>
        <w:keepLines/>
        <w:spacing w:before="320" w:after="200" w:line="440" w:lineRule="atLeast"/>
        <w:ind w:left="111" w:right="105"/>
        <w:rPr>
          <w:rFonts w:ascii="Arial" w:eastAsia="Arial" w:hAnsi="Arial" w:cs="Arial"/>
          <w:b/>
          <w:bCs/>
          <w:color w:val="201547"/>
          <w:sz w:val="28"/>
        </w:rPr>
      </w:pPr>
      <w:r>
        <w:rPr>
          <w:rFonts w:ascii="Arial" w:eastAsia="Arial" w:hAnsi="Arial" w:cs="Arial"/>
          <w:b/>
          <w:bCs/>
          <w:color w:val="201547"/>
          <w:sz w:val="28"/>
        </w:rPr>
        <w:t xml:space="preserve">6. Data </w:t>
      </w:r>
      <w:r>
        <w:rPr>
          <w:rFonts w:ascii="Arial" w:eastAsia="Arial" w:hAnsi="Arial" w:cs="Arial"/>
          <w:b/>
          <w:bCs/>
          <w:color w:val="201547"/>
          <w:sz w:val="28"/>
        </w:rPr>
        <w:t>collection</w:t>
      </w:r>
    </w:p>
    <w:p w:rsidR="00912FC2" w:rsidRDefault="009535CC">
      <w:pPr>
        <w:spacing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The reporting requirements for this service are: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580"/>
        <w:gridCol w:w="2580"/>
        <w:gridCol w:w="2508"/>
      </w:tblGrid>
      <w:tr w:rsidR="00912FC2">
        <w:trPr>
          <w:tblHeader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FC2" w:rsidRDefault="009535CC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FC2" w:rsidRDefault="009535CC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system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FC2" w:rsidRDefault="009535CC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set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FC2" w:rsidRDefault="009535CC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Reporting cycle</w:t>
            </w:r>
          </w:p>
        </w:tc>
      </w:tr>
      <w:tr w:rsidR="00912FC2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FC2" w:rsidRDefault="009535CC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Victorian Seniors Festival Active Living grants program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FC2" w:rsidRDefault="009535CC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FC2" w:rsidRDefault="009535CC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Number of events; attendance numbers per event; promotional activity undertaken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FC2" w:rsidRDefault="009535CC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Annual</w:t>
            </w:r>
          </w:p>
        </w:tc>
      </w:tr>
      <w:tr w:rsidR="00912FC2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FC2" w:rsidRDefault="009535CC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Acquittal Report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FC2" w:rsidRDefault="009535CC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FC2" w:rsidRDefault="009535CC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FC2" w:rsidRDefault="009535CC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Annual</w:t>
            </w:r>
          </w:p>
        </w:tc>
      </w:tr>
    </w:tbl>
    <w:p w:rsidR="00912FC2" w:rsidRDefault="00912FC2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912FC2">
        <w:trPr>
          <w:cantSplit/>
        </w:trPr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12FC2" w:rsidRDefault="009535C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To receive this publication in an accessible format </w:t>
            </w:r>
            <w:r>
              <w:rPr>
                <w:rFonts w:ascii="Arial" w:eastAsia="Arial" w:hAnsi="Arial" w:cs="Arial"/>
                <w:color w:val="000000"/>
                <w:sz w:val="20"/>
              </w:rPr>
              <w:t>email</w:t>
            </w:r>
            <w:r>
              <w:rPr>
                <w:rFonts w:ascii="Arial" w:eastAsia="Arial" w:hAnsi="Arial" w:cs="Arial"/>
                <w:color w:val="3366FF"/>
                <w:sz w:val="24"/>
              </w:rPr>
              <w:t xml:space="preserve"> Service Agreement Strategy and Practice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hyperlink r:id="rId8" w:tgtFrame="_blank" w:history="1">
              <w:r>
                <w:rPr>
                  <w:rFonts w:ascii="Arial" w:eastAsia="Arial" w:hAnsi="Arial" w:cs="Arial"/>
                  <w:color w:val="3366FF"/>
                  <w:sz w:val="24"/>
                </w:rPr>
                <w:t>&lt;sapolicy@dffh.vic.gov.au</w:t>
              </w:r>
            </w:hyperlink>
            <w:r>
              <w:rPr>
                <w:rFonts w:ascii="Arial" w:eastAsia="Arial" w:hAnsi="Arial" w:cs="Arial"/>
                <w:color w:val="000000"/>
                <w:sz w:val="24"/>
              </w:rPr>
              <w:t>&gt;</w:t>
            </w:r>
          </w:p>
          <w:p w:rsidR="00912FC2" w:rsidRDefault="009535C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Authorised and published by the Victorian Government, 1 Treasury Place, Melbourne.</w:t>
            </w:r>
          </w:p>
          <w:p w:rsidR="00912FC2" w:rsidRDefault="009535C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© State of Victoria, Australia, Department of Families, Fairness and Housing, July 2021.</w:t>
            </w:r>
            <w:r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  <w:p w:rsidR="00912FC2" w:rsidRDefault="009535C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In this document, ‘Aboriginal’ refers to both Aboriginal and Torres Strait Islander people. ‘Indigenous’ or ‘Koori/Koorie' is retained when part of the title of a report, program or quotation.</w:t>
            </w:r>
          </w:p>
          <w:p w:rsidR="00912FC2" w:rsidRDefault="009535C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ISSN 2653-0929 – Online (PDF/Word)</w:t>
            </w:r>
          </w:p>
          <w:p w:rsidR="00912FC2" w:rsidRDefault="009535C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eastAsia="Arial" w:hAnsi="Arial" w:cs="Arial"/>
                <w:color w:val="3366FF"/>
                <w:sz w:val="20"/>
              </w:rPr>
              <w:t>Department of</w:t>
            </w:r>
            <w:r>
              <w:rPr>
                <w:rFonts w:ascii="Arial" w:eastAsia="Arial" w:hAnsi="Arial" w:cs="Arial"/>
                <w:color w:val="3366FF"/>
                <w:sz w:val="20"/>
              </w:rPr>
              <w:t xml:space="preserve"> Families, Fairness and Housing and Department of Health </w:t>
            </w:r>
            <w:r>
              <w:rPr>
                <w:rFonts w:ascii="Arial" w:eastAsia="Arial" w:hAnsi="Arial" w:cs="Arial"/>
                <w:color w:val="000000"/>
                <w:sz w:val="20"/>
              </w:rPr>
              <w:t>activity search</w:t>
            </w:r>
          </w:p>
          <w:p w:rsidR="00912FC2" w:rsidRDefault="009535CC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hyperlink r:id="rId9" w:tgtFrame="_blank" w:history="1">
              <w:r>
                <w:rPr>
                  <w:rFonts w:ascii="Arial" w:eastAsia="Arial" w:hAnsi="Arial" w:cs="Arial"/>
                  <w:color w:val="3366FF"/>
                  <w:sz w:val="20"/>
                </w:rPr>
                <w:t>&lt;http://providers.dffh.vic.gov.au/families-fairness-housing-health-activi</w:t>
              </w:r>
              <w:r>
                <w:rPr>
                  <w:rFonts w:ascii="Arial" w:eastAsia="Arial" w:hAnsi="Arial" w:cs="Arial"/>
                  <w:color w:val="3366FF"/>
                  <w:sz w:val="20"/>
                </w:rPr>
                <w:t>ty-search</w:t>
              </w:r>
            </w:hyperlink>
            <w:r>
              <w:rPr>
                <w:rFonts w:ascii="Arial" w:eastAsia="Arial" w:hAnsi="Arial" w:cs="Arial"/>
                <w:color w:val="000000"/>
                <w:sz w:val="20"/>
              </w:rPr>
              <w:t>&gt;</w:t>
            </w:r>
          </w:p>
        </w:tc>
      </w:tr>
    </w:tbl>
    <w:p w:rsidR="00912FC2" w:rsidRDefault="00912FC2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  <w:bookmarkStart w:id="1" w:name="page_total_master0"/>
      <w:bookmarkStart w:id="2" w:name="page_total"/>
      <w:bookmarkEnd w:id="1"/>
      <w:bookmarkEnd w:id="2"/>
    </w:p>
    <w:sectPr w:rsidR="00912FC2"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535CC">
      <w:r>
        <w:separator/>
      </w:r>
    </w:p>
  </w:endnote>
  <w:endnote w:type="continuationSeparator" w:id="0">
    <w:p w:rsidR="00000000" w:rsidRDefault="0095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FC2" w:rsidRDefault="009535CC">
    <w:pPr>
      <w:tabs>
        <w:tab w:val="left" w:pos="4428"/>
        <w:tab w:val="left" w:pos="9123"/>
        <w:tab w:val="right" w:pos="10314"/>
      </w:tabs>
      <w:ind w:left="111" w:right="105"/>
    </w:pPr>
    <w:r>
      <w:rPr>
        <w:rFonts w:ascii="Arial" w:eastAsia="Arial" w:hAnsi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692"/>
    </w:tblGrid>
    <w:tr w:rsidR="00912FC2">
      <w:tc>
        <w:tcPr>
          <w:tcW w:w="3473" w:type="dxa"/>
          <w:shd w:val="clear" w:color="auto" w:fill="FFFFFF"/>
        </w:tcPr>
        <w:p w:rsidR="00912FC2" w:rsidRDefault="00912FC2">
          <w:pPr>
            <w:ind w:left="108" w:right="108"/>
          </w:pPr>
        </w:p>
      </w:tc>
      <w:tc>
        <w:tcPr>
          <w:tcW w:w="3473" w:type="dxa"/>
          <w:shd w:val="clear" w:color="auto" w:fill="FFFFFF"/>
          <w:vAlign w:val="bottom"/>
        </w:tcPr>
        <w:p w:rsidR="00912FC2" w:rsidRDefault="009535CC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692" w:type="dxa"/>
          <w:shd w:val="clear" w:color="auto" w:fill="FFFFFF"/>
        </w:tcPr>
        <w:p w:rsidR="00912FC2" w:rsidRDefault="009535CC">
          <w:pPr>
            <w:tabs>
              <w:tab w:val="right" w:pos="10314"/>
            </w:tabs>
            <w:spacing w:before="240"/>
            <w:ind w:left="108"/>
            <w:jc w:val="center"/>
            <w:rPr>
              <w:rFonts w:ascii="Arial" w:eastAsia="Arial" w:hAnsi="Arial" w:cs="Arial"/>
              <w:color w:val="000000"/>
              <w:sz w:val="18"/>
            </w:rPr>
          </w:pPr>
          <w:r>
            <w:rPr>
              <w:rFonts w:ascii="Arial" w:eastAsia="Arial" w:hAnsi="Arial" w:cs="Arial"/>
              <w:color w:val="000000"/>
              <w:sz w:val="18"/>
            </w:rPr>
            <w:t xml:space="preserve">             </w:t>
          </w:r>
        </w:p>
        <w:p w:rsidR="00912FC2" w:rsidRDefault="009535CC">
          <w:pPr>
            <w:tabs>
              <w:tab w:val="right" w:pos="10314"/>
            </w:tabs>
            <w:spacing w:before="240"/>
            <w:ind w:left="108"/>
            <w:jc w:val="center"/>
          </w:pPr>
          <w:r>
            <w:rPr>
              <w:noProof/>
              <w:lang w:eastAsia="en-US"/>
            </w:rPr>
            <w:drawing>
              <wp:inline distT="0" distB="0" distL="0" distR="0">
                <wp:extent cx="1657350" cy="5143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12FC2" w:rsidRDefault="00912FC2">
    <w:pPr>
      <w:tabs>
        <w:tab w:val="right" w:pos="10314"/>
      </w:tabs>
      <w:ind w:left="111" w:right="105"/>
      <w:jc w:val="center"/>
      <w:rPr>
        <w:rFonts w:ascii="Arial" w:eastAsia="Arial" w:hAnsi="Arial" w:cs="Arial"/>
        <w:color w:val="00000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473"/>
    </w:tblGrid>
    <w:tr w:rsidR="00912FC2">
      <w:tc>
        <w:tcPr>
          <w:tcW w:w="3473" w:type="dxa"/>
          <w:shd w:val="clear" w:color="auto" w:fill="FFFFFF"/>
        </w:tcPr>
        <w:p w:rsidR="00912FC2" w:rsidRDefault="00912FC2">
          <w:pPr>
            <w:ind w:left="108" w:right="108"/>
          </w:pPr>
        </w:p>
      </w:tc>
      <w:tc>
        <w:tcPr>
          <w:tcW w:w="3473" w:type="dxa"/>
          <w:shd w:val="clear" w:color="auto" w:fill="FFFFFF"/>
          <w:vAlign w:val="bottom"/>
        </w:tcPr>
        <w:p w:rsidR="00912FC2" w:rsidRDefault="009535CC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                                     </w:t>
          </w:r>
        </w:p>
      </w:tc>
      <w:tc>
        <w:tcPr>
          <w:tcW w:w="3473" w:type="dxa"/>
          <w:shd w:val="clear" w:color="auto" w:fill="FFFFFF"/>
        </w:tcPr>
        <w:p w:rsidR="00912FC2" w:rsidRDefault="009535CC">
          <w:pPr>
            <w:tabs>
              <w:tab w:val="right" w:pos="10314"/>
            </w:tabs>
            <w:spacing w:before="240"/>
            <w:ind w:left="108"/>
            <w:jc w:val="center"/>
          </w:pPr>
          <w:r>
            <w:rPr>
              <w:noProof/>
              <w:lang w:eastAsia="en-US"/>
            </w:rPr>
            <w:drawing>
              <wp:inline distT="0" distB="0" distL="0" distR="0">
                <wp:extent cx="1657350" cy="514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12FC2" w:rsidRDefault="009535CC">
    <w:pPr>
      <w:tabs>
        <w:tab w:val="right" w:pos="10314"/>
      </w:tabs>
      <w:spacing w:before="240"/>
      <w:ind w:left="111" w:right="105"/>
      <w:rPr>
        <w:rFonts w:ascii="Arial" w:eastAsia="Arial" w:hAnsi="Arial" w:cs="Arial"/>
        <w:color w:val="000000"/>
        <w:sz w:val="18"/>
      </w:rPr>
    </w:pPr>
    <w:r>
      <w:rPr>
        <w:rFonts w:ascii="Arial" w:eastAsia="Arial" w:hAnsi="Arial" w:cs="Arial"/>
        <w:color w:val="000000"/>
        <w:sz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535CC">
      <w:r>
        <w:separator/>
      </w:r>
    </w:p>
  </w:footnote>
  <w:footnote w:type="continuationSeparator" w:id="0">
    <w:p w:rsidR="00000000" w:rsidRDefault="00953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FC2" w:rsidRDefault="009535CC">
    <w:pPr>
      <w:tabs>
        <w:tab w:val="left" w:pos="408"/>
        <w:tab w:val="right" w:pos="10312"/>
      </w:tabs>
      <w:ind w:left="111" w:right="105"/>
      <w:rPr>
        <w:rFonts w:ascii="Arial" w:eastAsia="Arial" w:hAnsi="Arial" w:cs="Arial"/>
        <w:color w:val="000000"/>
        <w:sz w:val="18"/>
      </w:rPr>
    </w:pPr>
    <w:r>
      <w:rPr>
        <w:rFonts w:ascii="Arial" w:eastAsia="Arial" w:hAnsi="Arial" w:cs="Arial"/>
        <w:color w:val="000000"/>
        <w:sz w:val="18"/>
      </w:rPr>
      <w:t>Empowering Individuals and Communities 37401 Victorian Seniors Festival</w:t>
    </w:r>
    <w:r>
      <w:rPr>
        <w:rFonts w:ascii="Arial" w:eastAsia="Arial" w:hAnsi="Arial" w:cs="Arial"/>
        <w:color w:val="000000"/>
        <w:sz w:val="18"/>
      </w:rPr>
      <w:tab/>
    </w:r>
    <w:r>
      <w:rPr>
        <w:rFonts w:ascii="Arial" w:eastAsia="Arial" w:hAnsi="Arial" w:cs="Arial"/>
        <w:color w:val="000000"/>
        <w:sz w:val="18"/>
      </w:rPr>
      <w:fldChar w:fldCharType="begin"/>
    </w:r>
    <w:r>
      <w:rPr>
        <w:rFonts w:ascii="Arial" w:eastAsia="Arial" w:hAnsi="Arial" w:cs="Arial"/>
        <w:color w:val="000000"/>
        <w:sz w:val="18"/>
      </w:rPr>
      <w:instrText xml:space="preserve"> PAGE   \* MERGEFORMAT </w:instrText>
    </w:r>
    <w:r>
      <w:rPr>
        <w:rFonts w:ascii="Arial" w:eastAsia="Arial" w:hAnsi="Arial" w:cs="Arial"/>
        <w:color w:val="000000"/>
        <w:sz w:val="18"/>
      </w:rPr>
      <w:fldChar w:fldCharType="separate"/>
    </w:r>
    <w:r>
      <w:rPr>
        <w:rFonts w:ascii="Arial" w:eastAsia="Arial" w:hAnsi="Arial" w:cs="Arial"/>
        <w:color w:val="000000"/>
        <w:sz w:val="18"/>
      </w:rPr>
      <w:t>1</w:t>
    </w:r>
    <w:r>
      <w:rPr>
        <w:rFonts w:ascii="Arial" w:eastAsia="Arial" w:hAnsi="Arial" w:cs="Arial"/>
        <w:color w:val="000000"/>
        <w:sz w:val="18"/>
      </w:rPr>
      <w:fldChar w:fldCharType="end"/>
    </w:r>
  </w:p>
  <w:p w:rsidR="00912FC2" w:rsidRDefault="00912FC2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FC2" w:rsidRDefault="00912FC2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827"/>
    <w:multiLevelType w:val="hybridMultilevel"/>
    <w:tmpl w:val="CED0A558"/>
    <w:lvl w:ilvl="0" w:tplc="CEDA376A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0"/>
      </w:rPr>
    </w:lvl>
    <w:lvl w:ilvl="1" w:tplc="31F4E6D2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4"/>
      </w:rPr>
    </w:lvl>
    <w:lvl w:ilvl="2" w:tplc="A43071F6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3" w:tplc="46E08AC4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4" w:tplc="1D0CA8DC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5" w:tplc="6AEA1606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6" w:tplc="687A7A94">
      <w:start w:val="1"/>
      <w:numFmt w:val="bullet"/>
      <w:lvlText w:val="•"/>
      <w:lvlJc w:val="left"/>
      <w:pPr>
        <w:ind w:left="335" w:hanging="227"/>
      </w:pPr>
      <w:rPr>
        <w:rFonts w:ascii="Calibri" w:eastAsia="Calibri" w:hAnsi="Calibri" w:cs="Calibri" w:hint="default"/>
        <w:color w:val="000000"/>
        <w:sz w:val="24"/>
      </w:rPr>
    </w:lvl>
    <w:lvl w:ilvl="7" w:tplc="F55688D6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EAA0951C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" w15:restartNumberingAfterBreak="0">
    <w:nsid w:val="06AD59AC"/>
    <w:multiLevelType w:val="hybridMultilevel"/>
    <w:tmpl w:val="E7EAA022"/>
    <w:lvl w:ilvl="0" w:tplc="DEA4B48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C39A5E5E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953810E6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C194F5B4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B176AAEA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756889BA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1D92CAD2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633A2238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05FE54A8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2" w15:restartNumberingAfterBreak="0">
    <w:nsid w:val="1CC90203"/>
    <w:multiLevelType w:val="hybridMultilevel"/>
    <w:tmpl w:val="B9269B68"/>
    <w:lvl w:ilvl="0" w:tplc="516631FA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CA3AA616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0AEC54B0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4DC02458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9B2A3D20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6BEEE32C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B0DA4298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523A0BFC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200A7CA4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3" w15:restartNumberingAfterBreak="0">
    <w:nsid w:val="23D7388F"/>
    <w:multiLevelType w:val="hybridMultilevel"/>
    <w:tmpl w:val="13C49CEA"/>
    <w:lvl w:ilvl="0" w:tplc="3ED86F50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D5663CEC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7B303F22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60A2ABF4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2CB43ED0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3B1C0540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A5D682A4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56160116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FA1C8CBE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4" w15:restartNumberingAfterBreak="0">
    <w:nsid w:val="246D1631"/>
    <w:multiLevelType w:val="hybridMultilevel"/>
    <w:tmpl w:val="0B0E6A02"/>
    <w:lvl w:ilvl="0" w:tplc="2E8CFC70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EFA4F958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46DCBB50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76B0DB9C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A1A25E30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DE60C71A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A41401E0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302EB8DE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C890DD0C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5" w15:restartNumberingAfterBreak="0">
    <w:nsid w:val="42947645"/>
    <w:multiLevelType w:val="hybridMultilevel"/>
    <w:tmpl w:val="1E02A04E"/>
    <w:lvl w:ilvl="0" w:tplc="4EA47B6A">
      <w:start w:val="1"/>
      <w:numFmt w:val="bullet"/>
      <w:lvlText w:val="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1648213E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C4D0E2B6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F4FAC156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78749262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3EEE8D1A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AEDCE064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1D3A963A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AFE8F596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6" w15:restartNumberingAfterBreak="0">
    <w:nsid w:val="4C396BFE"/>
    <w:multiLevelType w:val="hybridMultilevel"/>
    <w:tmpl w:val="63369222"/>
    <w:lvl w:ilvl="0" w:tplc="A624475A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1" w:tplc="D0062838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2" w:tplc="3D3A3BF4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3" w:tplc="4C108ED4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4" w:tplc="C038AF3C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5" w:tplc="3E2A3D44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6" w:tplc="DB085BF4">
      <w:start w:val="1"/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color w:val="000000"/>
        <w:sz w:val="24"/>
      </w:rPr>
    </w:lvl>
    <w:lvl w:ilvl="7" w:tplc="2C7AA114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EB607CBC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7" w15:restartNumberingAfterBreak="0">
    <w:nsid w:val="4D4A6623"/>
    <w:multiLevelType w:val="hybridMultilevel"/>
    <w:tmpl w:val="476C4BA2"/>
    <w:lvl w:ilvl="0" w:tplc="EBDE3C20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EA2652B2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FFF63094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E66AF46C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70DC2A74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EBDE6426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9E06DA6A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9F62D8D8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93328E6E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8" w15:restartNumberingAfterBreak="0">
    <w:nsid w:val="55722FB6"/>
    <w:multiLevelType w:val="hybridMultilevel"/>
    <w:tmpl w:val="5174514C"/>
    <w:lvl w:ilvl="0" w:tplc="4A9A4A70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2FCCF530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F1B06D50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F9C48132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CEEA75B4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ED28A0F6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8A844B4A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E06639BE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86501EC6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9" w15:restartNumberingAfterBreak="0">
    <w:nsid w:val="69854E1F"/>
    <w:multiLevelType w:val="hybridMultilevel"/>
    <w:tmpl w:val="67103B42"/>
    <w:lvl w:ilvl="0" w:tplc="B8482F20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407414A2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0C6838E4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DADE14E6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FECA4D6C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76A2A100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0E8459AA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4BE041B4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F18C14F0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0" w15:restartNumberingAfterBreak="0">
    <w:nsid w:val="6C862BEB"/>
    <w:multiLevelType w:val="hybridMultilevel"/>
    <w:tmpl w:val="27B6C4A4"/>
    <w:lvl w:ilvl="0" w:tplc="6194E54E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8C225BD6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94FE664E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37B81572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303CF118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AE325980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0D4A5362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3D6834AE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62DA9C56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1" w15:restartNumberingAfterBreak="0">
    <w:nsid w:val="6E6C7C86"/>
    <w:multiLevelType w:val="hybridMultilevel"/>
    <w:tmpl w:val="F24868EC"/>
    <w:lvl w:ilvl="0" w:tplc="A036E1C6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1918FD40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1D2A521A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47669E48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A01A8BA2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68A62A54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48B24ABC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6ABAD51C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45C299A8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2" w15:restartNumberingAfterBreak="0">
    <w:nsid w:val="796E4DD2"/>
    <w:multiLevelType w:val="hybridMultilevel"/>
    <w:tmpl w:val="4DEE356C"/>
    <w:lvl w:ilvl="0" w:tplc="D924D720">
      <w:start w:val="1"/>
      <w:numFmt w:val="decimal"/>
      <w:lvlText w:val="%1."/>
      <w:lvlJc w:val="left"/>
      <w:pPr>
        <w:ind w:left="468" w:hanging="360"/>
      </w:pPr>
      <w:rPr>
        <w:rFonts w:ascii="Calibri" w:eastAsia="Calibri" w:hAnsi="Calibri" w:cs="Calibri" w:hint="default"/>
        <w:color w:val="000000"/>
        <w:sz w:val="24"/>
      </w:rPr>
    </w:lvl>
    <w:lvl w:ilvl="1" w:tplc="88161A9C">
      <w:start w:val="1"/>
      <w:numFmt w:val="lowerLetter"/>
      <w:lvlText w:val="%2."/>
      <w:lvlJc w:val="left"/>
      <w:pPr>
        <w:ind w:left="1188" w:hanging="360"/>
      </w:pPr>
      <w:rPr>
        <w:rFonts w:ascii="Calibri" w:eastAsia="Calibri" w:hAnsi="Calibri" w:cs="Calibri" w:hint="default"/>
        <w:color w:val="000000"/>
        <w:sz w:val="24"/>
      </w:rPr>
    </w:lvl>
    <w:lvl w:ilvl="2" w:tplc="4D5C4FE6">
      <w:start w:val="1"/>
      <w:numFmt w:val="lowerRoman"/>
      <w:lvlText w:val="%3."/>
      <w:lvlJc w:val="right"/>
      <w:pPr>
        <w:ind w:left="1908" w:hanging="180"/>
      </w:pPr>
      <w:rPr>
        <w:rFonts w:ascii="Calibri" w:eastAsia="Calibri" w:hAnsi="Calibri" w:cs="Calibri" w:hint="default"/>
        <w:color w:val="000000"/>
        <w:sz w:val="24"/>
      </w:rPr>
    </w:lvl>
    <w:lvl w:ilvl="3" w:tplc="C144DCA0">
      <w:start w:val="1"/>
      <w:numFmt w:val="decimal"/>
      <w:lvlText w:val="%4."/>
      <w:lvlJc w:val="left"/>
      <w:pPr>
        <w:ind w:left="2628" w:hanging="360"/>
      </w:pPr>
      <w:rPr>
        <w:rFonts w:ascii="Calibri" w:eastAsia="Calibri" w:hAnsi="Calibri" w:cs="Calibri" w:hint="default"/>
        <w:color w:val="000000"/>
        <w:sz w:val="24"/>
      </w:rPr>
    </w:lvl>
    <w:lvl w:ilvl="4" w:tplc="A8BCE600">
      <w:start w:val="1"/>
      <w:numFmt w:val="lowerLetter"/>
      <w:lvlText w:val="%5."/>
      <w:lvlJc w:val="left"/>
      <w:pPr>
        <w:ind w:left="3348" w:hanging="360"/>
      </w:pPr>
      <w:rPr>
        <w:rFonts w:ascii="Calibri" w:eastAsia="Calibri" w:hAnsi="Calibri" w:cs="Calibri" w:hint="default"/>
        <w:color w:val="000000"/>
        <w:sz w:val="24"/>
      </w:rPr>
    </w:lvl>
    <w:lvl w:ilvl="5" w:tplc="31F8608C">
      <w:start w:val="1"/>
      <w:numFmt w:val="lowerRoman"/>
      <w:lvlText w:val="%6."/>
      <w:lvlJc w:val="right"/>
      <w:pPr>
        <w:ind w:left="4068" w:hanging="180"/>
      </w:pPr>
      <w:rPr>
        <w:rFonts w:ascii="Calibri" w:eastAsia="Calibri" w:hAnsi="Calibri" w:cs="Calibri" w:hint="default"/>
        <w:color w:val="000000"/>
        <w:sz w:val="24"/>
      </w:rPr>
    </w:lvl>
    <w:lvl w:ilvl="6" w:tplc="56DA71A4">
      <w:start w:val="1"/>
      <w:numFmt w:val="decimal"/>
      <w:lvlText w:val="%7."/>
      <w:lvlJc w:val="left"/>
      <w:pPr>
        <w:ind w:left="4788" w:hanging="360"/>
      </w:pPr>
      <w:rPr>
        <w:rFonts w:ascii="Calibri" w:eastAsia="Calibri" w:hAnsi="Calibri" w:cs="Calibri" w:hint="default"/>
        <w:color w:val="000000"/>
        <w:sz w:val="24"/>
      </w:rPr>
    </w:lvl>
    <w:lvl w:ilvl="7" w:tplc="071E55AC">
      <w:start w:val="1"/>
      <w:numFmt w:val="lowerLetter"/>
      <w:lvlText w:val="%8."/>
      <w:lvlJc w:val="left"/>
      <w:pPr>
        <w:ind w:left="5508" w:hanging="360"/>
      </w:pPr>
      <w:rPr>
        <w:rFonts w:ascii="Calibri" w:eastAsia="Calibri" w:hAnsi="Calibri" w:cs="Calibri" w:hint="default"/>
        <w:color w:val="000000"/>
        <w:sz w:val="24"/>
      </w:rPr>
    </w:lvl>
    <w:lvl w:ilvl="8" w:tplc="4390670E">
      <w:start w:val="1"/>
      <w:numFmt w:val="lowerRoman"/>
      <w:lvlText w:val="%9."/>
      <w:lvlJc w:val="right"/>
      <w:pPr>
        <w:ind w:left="622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3" w15:restartNumberingAfterBreak="0">
    <w:nsid w:val="7A072170"/>
    <w:multiLevelType w:val="hybridMultilevel"/>
    <w:tmpl w:val="2136624A"/>
    <w:lvl w:ilvl="0" w:tplc="45CE3B2E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D4F8EF7E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569AED26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67A8F058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039CAEF0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B2724E6A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BEA44968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8C9A7F24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FF6A1D04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4" w15:restartNumberingAfterBreak="0">
    <w:nsid w:val="7F634749"/>
    <w:multiLevelType w:val="hybridMultilevel"/>
    <w:tmpl w:val="17BE3284"/>
    <w:lvl w:ilvl="0" w:tplc="74A083C0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F7A03748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1162203A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C3C2A03A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4A4E1622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6A2A2D40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49AA540C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CC740030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B15CB9F8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14"/>
  </w:num>
  <w:num w:numId="8">
    <w:abstractNumId w:val="5"/>
  </w:num>
  <w:num w:numId="9">
    <w:abstractNumId w:val="11"/>
  </w:num>
  <w:num w:numId="10">
    <w:abstractNumId w:val="12"/>
  </w:num>
  <w:num w:numId="11">
    <w:abstractNumId w:val="13"/>
  </w:num>
  <w:num w:numId="12">
    <w:abstractNumId w:val="10"/>
  </w:num>
  <w:num w:numId="13">
    <w:abstractNumId w:val="0"/>
  </w:num>
  <w:num w:numId="14">
    <w:abstractNumId w:val="9"/>
  </w:num>
  <w:num w:numId="15">
    <w:abstractNumId w:val="9"/>
  </w:num>
  <w:num w:numId="16">
    <w:abstractNumId w:val="9"/>
  </w:num>
  <w:num w:numId="17">
    <w:abstractNumId w:val="7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C2"/>
    <w:rsid w:val="00912FC2"/>
    <w:rsid w:val="0095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38E488-7CDE-4388-8F09-DECA465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olicy@dffh.vic.gov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oviders.dffh.vic.gov.au/families-fairness-housing-health-activity-search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3238</Characters>
  <Application>Microsoft Office Word</Application>
  <DocSecurity>0</DocSecurity>
  <Lines>89</Lines>
  <Paragraphs>53</Paragraphs>
  <ScaleCrop>false</ScaleCrop>
  <Company>Victoria State Government, Department of Health, Department of Families, Fairness and Housing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Victorian Seniors Festival 37401</dc:title>
  <dc:subject>service agreement activity descriptions</dc:subject>
  <dc:creator>Service Agreement Policy Unit</dc:creator>
  <cp:keywords>service agreement; activity description; health; families, fairness and housing;</cp:keywords>
  <dc:description>Generated by Oracle BI Publisher 12.2.1.3.0</dc:description>
  <cp:lastModifiedBy>p-rsams-siebelsrvacc</cp:lastModifiedBy>
  <cp:revision>3</cp:revision>
  <dcterms:created xsi:type="dcterms:W3CDTF">2013-02-11T20:57:00Z</dcterms:created>
  <dcterms:modified xsi:type="dcterms:W3CDTF">2021-07-01T16:08:00Z</dcterms:modified>
</cp:coreProperties>
</file>