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apolicy@dffh.vic.gov.au" TargetMode="Externa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file:/F:/Oracle/Middleware/Oracle_Home/user_projects/domains/bi2"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file:/F:/Oracle/Middleware/Oracle_Home/user_projects/domains/bi2" TargetMode="External"/><Relationship Id="rId5" Type="http://schemas.openxmlformats.org/officeDocument/2006/relationships/theme" Target="theme/theme1.xml"/><Relationship Id="rId15" Type="http://schemas.openxmlformats.org/officeDocument/2006/relationships/numbering" Target="numbering.xml"/><Relationship Id="rId10" Type="http://schemas.openxmlformats.org/officeDocument/2006/relationships/image" Target="media/image3.png"/><Relationship Id="rId4" Type="http://schemas.openxmlformats.org/officeDocument/2006/relationships/fontTable" Target="fontTable.xml"/><Relationship Id="rId9" Type="http://schemas.openxmlformats.org/officeDocument/2006/relationships/footer" Target="footer2.xml"/><Relationship Id="rId14" Type="http://schemas.openxmlformats.org/officeDocument/2006/relationships/hyperlink" Target="http://providers.dffh.vic.gov.au/families-fairness-housing-health-activity-search" TargetMode="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320B3565-C788-452C-8C76-F73F88989844}"/>
</file>

<file path=customXml/itemProps2.xml><?xml version="1.0" encoding="utf-8"?>
<ds:datastoreItem xmlns:ds="http://schemas.openxmlformats.org/officeDocument/2006/customXml" ds:itemID="{B1C68260-77C6-42C0-80C8-551E2C04CF66}"/>
</file>

<file path=customXml/itemProps3.xml><?xml version="1.0" encoding="utf-8"?>
<ds:datastoreItem xmlns:ds="http://schemas.openxmlformats.org/officeDocument/2006/customXml" ds:itemID="{D89A7B53-7152-455D-9FF6-0D4F2024627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Community Connectors 37082</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0x0101009F0C4347C5C6D34BA8C9FCC4F57D19B6</vt:lpwstr>
  </property>
</Propertie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Community Connectors</w:t>
            </w:r>
          </w:p>
          <w:p>
            <w:pPr>
              <w:spacing w:line="560" w:lineRule="atLeast"/>
              <w:rPr>
                <w:rFonts w:ascii="Arial" w:hAnsi="Arial" w:eastAsia="Arial" w:cs="Arial"/>
                <w:color w:val="201547"/>
                <w:sz w:val="44"/>
              </w:rPr>
            </w:pPr>
            <w:r>
              <w:rPr>
                <w:rFonts w:ascii="Arial" w:hAnsi="Arial" w:eastAsia="Arial" w:cs="Arial"/>
                <w:color w:val="201547"/>
                <w:sz w:val="44"/>
              </w:rPr>
              <w:t>37082</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are safe and secure</w:t>
            </w:r>
          </w:p>
          <w:p>
            <w:pPr>
              <w:spacing w:after="120"/>
              <w:rPr>
                <w:rFonts w:ascii="Arial" w:hAnsi="Arial" w:eastAsia="Arial" w:cs="Arial"/>
                <w:color w:val="201547"/>
                <w:sz w:val="28"/>
              </w:rPr>
            </w:pPr>
            <w:r>
              <w:rPr>
                <w:rFonts w:ascii="Arial" w:hAnsi="Arial" w:eastAsia="Arial" w:cs="Arial"/>
                <w:color w:val="201547"/>
                <w:sz w:val="28"/>
              </w:rPr>
              <w:t>Output group: Empowering Individuals and Communities</w:t>
            </w:r>
          </w:p>
          <w:p>
            <w:pPr>
              <w:spacing w:after="120"/>
              <w:rPr>
                <w:rFonts w:ascii="Arial" w:hAnsi="Arial" w:eastAsia="Arial" w:cs="Arial"/>
                <w:color w:val="201547"/>
                <w:sz w:val="28"/>
              </w:rPr>
            </w:pPr>
            <w:r>
              <w:rPr>
                <w:rFonts w:ascii="Arial" w:hAnsi="Arial" w:eastAsia="Arial" w:cs="Arial"/>
                <w:color w:val="201547"/>
                <w:sz w:val="28"/>
              </w:rPr>
              <w:t>Output: Community Participation</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The aim of the Community Connectors program is to provide active linkages, employing teams of local residents, people with lived experience and health promotion workers to link people at their doorstep to preventative and early intervention health and social care services.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The Community Connectors Program has two components:</w:t>
      </w:r>
      <w:r>
        <w:br/>
      </w:r>
      <w:r>
        <w:rPr>
          <w:rFonts w:ascii="Arial" w:hAnsi="Arial" w:eastAsia="Arial" w:cs="Arial"/>
          <w:color w:val="000000"/>
          <w:sz w:val="20"/>
        </w:rPr>
        <w:t>• The High-Rise Public Housing Community Connector Initiative will have six teams operating across priority high density public housing clusters across Metropolitan Melbourne. This initiative will work with the public housing communities to build trust, identify community need and draw on community strengths and resident-led activities to address the determinants of good health and wellbeing.</w:t>
      </w:r>
      <w:r>
        <w:br/>
      </w:r>
      <w:r>
        <w:rPr>
          <w:rFonts w:ascii="Arial" w:hAnsi="Arial" w:eastAsia="Arial" w:cs="Arial"/>
          <w:color w:val="000000"/>
          <w:sz w:val="20"/>
        </w:rPr>
        <w:t>• The Mobile Priority Community Connector Initiative will have nine teams offering flexible and targeted mobile services to priority accommodation settings to engage proprietors and residents to promote public health initiatives, identify strengths and needs and connect residents to health and social services. This initiative will focus on communities and sensitive settings with high levels of disadvantage and poor health and social outcomes, including people in Supported Residential Services (SRS), public housing, long-term residents in caravan parks and rooming houses. This initiative also enables a regional focus.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 Client Facing</w:t>
      </w:r>
      <w:r>
        <w:br/>
      </w:r>
      <w:r>
        <w:rPr>
          <w:rFonts w:ascii="Arial" w:hAnsi="Arial" w:eastAsia="Arial" w:cs="Arial"/>
          <w:color w:val="000000"/>
          <w:sz w:val="20"/>
        </w:rPr>
        <w:t>Type of engagement:</w:t>
      </w:r>
      <w:r>
        <w:br/>
      </w:r>
      <w:r>
        <w:rPr>
          <w:rFonts w:ascii="Arial" w:hAnsi="Arial" w:eastAsia="Arial" w:cs="Arial"/>
          <w:color w:val="000000"/>
          <w:sz w:val="20"/>
        </w:rPr>
        <w:t>• Client facing.</w:t>
      </w:r>
      <w:r>
        <w:br/>
      </w:r>
      <w:r>
        <w:br/>
      </w:r>
      <w:r>
        <w:rPr>
          <w:rFonts w:ascii="Arial" w:hAnsi="Arial" w:eastAsia="Arial" w:cs="Arial"/>
          <w:color w:val="000000"/>
          <w:sz w:val="20"/>
        </w:rPr>
        <w:t>The Community Connectors program’s client groups are:</w:t>
      </w:r>
      <w:r>
        <w:br/>
      </w:r>
      <w:r>
        <w:rPr>
          <w:rFonts w:ascii="Arial" w:hAnsi="Arial" w:eastAsia="Arial" w:cs="Arial"/>
          <w:color w:val="000000"/>
          <w:sz w:val="20"/>
        </w:rPr>
        <w:t>• People living in public housing</w:t>
      </w:r>
      <w:r>
        <w:br/>
      </w:r>
      <w:r>
        <w:rPr>
          <w:rFonts w:ascii="Arial" w:hAnsi="Arial" w:eastAsia="Arial" w:cs="Arial"/>
          <w:color w:val="000000"/>
          <w:sz w:val="20"/>
        </w:rPr>
        <w:t>• People in low cost and high-risk accommodation settings.</w:t>
      </w:r>
      <w:r>
        <w:br/>
      </w:r>
      <w:r>
        <w:br/>
      </w:r>
      <w:r>
        <w:rPr>
          <w:rFonts w:ascii="Arial" w:hAnsi="Arial" w:eastAsia="Arial" w:cs="Arial"/>
          <w:color w:val="000000"/>
          <w:sz w:val="20"/>
        </w:rPr>
        <w:t>Refer to Program Requirements for further detail on the client groups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spacing w:after="40" w:line="270" w:lineRule="atLeast"/>
        <w:ind w:left="111" w:right="105"/>
        <w:rPr>
          <w:rFonts w:ascii="Arial" w:hAnsi="Arial" w:eastAsia="Arial" w:cs="Arial"/>
          <w:color w:val="000000"/>
          <w:sz w:val="20"/>
        </w:rPr>
      </w:pPr>
      <w:r>
        <w:rPr>
          <w:rFonts w:ascii="Arial" w:hAnsi="Arial" w:eastAsia="Arial" w:cs="Arial"/>
          <w:color w:val="000000"/>
          <w:sz w:val="20"/>
        </w:rPr>
        <w:t>N/A</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High-Rise Public Housing Community Connector Initiative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Mobile Priority Community Connector Initiative</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Number of staff employed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This performance measure provides information about the number of staff employed to deliver the Community Connectors program who are also residents of public housing or low-cost and high-risk accommodation settings or are people with a lived experience of living in these settings.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staff employed by the provider to deliver the Community Connectors program who are also residents of public housing or low-cost and high-risk accommodation settings or are people with a lived experience of living in these settings at the time of each monthly reporting cycle.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Number of residents employed from high priority and sensitive settings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N/A</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2: Number of clients reached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This performance measure provides information about the number of clients reached by activities undertaken as part of the Community Connectors program.</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number of clients reached by a given health or social service activity, to be reported during the month in which the activity concluded.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Number of individuals reached by health and social services campaigns</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‘Reach’ includes attendance at workshops or health promotion events, receiving communication materials, being supported through active linkages or referrals to other services.</w:t>
            </w:r>
            <w:r>
              <w:br/>
            </w:r>
            <w:r>
              <w:rPr>
                <w:rFonts w:ascii="Arial" w:hAnsi="Arial" w:eastAsia="Arial" w:cs="Arial"/>
                <w:color w:val="000000"/>
                <w:sz w:val="20"/>
              </w:rPr>
              <w:t>‘Clients’ include people living in public housing and low-cost and high-risk accommodation settings.</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Number of residents employed from high priority and sensitive settings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Monthly report via electronic form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Number of individuals reached by health and social services campaigns</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Manual Data Collection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Monthly report via electronic form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000000"/>
                <w:sz w:val="24"/>
              </w:rPr>
            </w:pPr>
            <w:r>
              <w:rPr>
                <w:rFonts w:ascii="Arial" w:hAnsi="Arial" w:eastAsia="Arial" w:cs="Arial"/>
                <w:color w:val="000000"/>
                <w:sz w:val="24"/>
              </w:rPr>
              <w:t xml:space="preserve">To receive this publication in an accessible format </w:t>
            </w:r>
            <w:r>
              <w:rPr>
                <w:rFonts w:ascii="Arial" w:hAnsi="Arial" w:eastAsia="Arial" w:cs="Arial"/>
                <w:color w:val="000000"/>
                <w:sz w:val="20"/>
              </w:rPr>
              <w:t>email</w:t>
            </w:r>
            <w:r>
              <w:rPr>
                <w:rFonts w:ascii="Arial" w:hAnsi="Arial" w:eastAsia="Arial" w:cs="Arial"/>
                <w:color w:val="3366FF"/>
                <w:sz w:val="24"/>
              </w:rPr>
              <w:t xml:space="preserve"> Service Agreement Strategy and Practice</w:t>
            </w:r>
            <w:r>
              <w:rPr>
                <w:rFonts w:ascii="Arial" w:hAnsi="Arial" w:eastAsia="Arial" w:cs="Arial"/>
                <w:color w:val="000000"/>
                <w:sz w:val="24"/>
              </w:rPr>
              <w:t xml:space="preserve"> </w:t>
            </w:r>
            <w:hyperlink r:id="rId13" w:tgtFrame="_blank" w:history="1">
              <w:r>
                <w:rPr>
                  <w:rFonts w:ascii="Arial" w:hAnsi="Arial" w:eastAsia="Arial" w:cs="Arial"/>
                  <w:color w:val="3366FF"/>
                  <w:sz w:val="24"/>
                </w:rPr>
                <w:t>&lt;sapolicy@dffh.vic.gov.au</w:t>
              </w:r>
            </w:hyperlink>
            <w:r>
              <w:rPr>
                <w:rFonts w:ascii="Arial" w:hAnsi="Arial" w:eastAsia="Arial" w:cs="Arial"/>
                <w:color w:val="000000"/>
                <w:sz w:val="24"/>
              </w:rPr>
              <w:t>&gt;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September 2022</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4"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11" w:type="dxa"/>
      <w:tblLayout w:type="fixed"/>
      <w:tblCellMar>
        <w:left w:w="0" w:type="dxa"/>
        <w:right w:w="0" w:type="dxa"/>
      </w:tblCellMar>
    </w:tblPr>
    <w:tblGrid>
      <w:gridCol w:w="3185"/>
      <w:gridCol w:w="3473"/>
      <w:gridCol w:w="3692"/>
    </w:tblGrid>
    <w:tr>
      <w:tc>
        <w:tcPr>
          <w:tcW w:w="3185"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11" w:type="dxa"/>
      <w:tblLayout w:type="fixed"/>
      <w:tblCellMar>
        <w:left w:w="0" w:type="dxa"/>
        <w:right w:w="0" w:type="dxa"/>
      </w:tblCellMar>
    </w:tblPr>
    <w:tblGrid>
      <w:gridCol w:w="3185"/>
      <w:gridCol w:w="3473"/>
      <w:gridCol w:w="3473"/>
    </w:tblGrid>
    <w:tr>
      <w:tc>
        <w:tcPr>
          <w:tcW w:w="3185"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Empowering Individuals and Communities 37082 Community Connectors</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