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oviders.dffh.vic.gov.au/families-fairness-housing-health-activity-search"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sapolicy@dffh.vic.gov.au"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dffh.vic.gov.au/community-services-sector-covid-19#high-risk-accommodation-response-extension-hrar-extensionservice-specifications" TargetMode="External"/><Relationship Id="rId5" Type="http://schemas.openxmlformats.org/officeDocument/2006/relationships/theme" Target="theme/theme1.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9BD498F-EBD7-4AB3-B514-97BF49CF2A2C}"/>
</file>

<file path=customXml/itemProps2.xml><?xml version="1.0" encoding="utf-8"?>
<ds:datastoreItem xmlns:ds="http://schemas.openxmlformats.org/officeDocument/2006/customXml" ds:itemID="{663E2ABE-E8F0-42F6-8DA2-D416BDFA1E45}"/>
</file>

<file path=customXml/itemProps3.xml><?xml version="1.0" encoding="utf-8"?>
<ds:datastoreItem xmlns:ds="http://schemas.openxmlformats.org/officeDocument/2006/customXml" ds:itemID="{023AD644-381C-41E1-94FE-17D8E23E610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High Risk Accommodation Response 37080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High Risk Accommodation Response</w:t>
            </w:r>
          </w:p>
          <w:p>
            <w:pPr>
              <w:spacing w:line="560" w:lineRule="atLeast"/>
              <w:rPr>
                <w:rFonts w:ascii="Arial" w:hAnsi="Arial" w:eastAsia="Arial" w:cs="Arial"/>
                <w:color w:val="201547"/>
                <w:sz w:val="44"/>
              </w:rPr>
            </w:pPr>
            <w:r>
              <w:rPr>
                <w:rFonts w:ascii="Arial" w:hAnsi="Arial" w:eastAsia="Arial" w:cs="Arial"/>
                <w:color w:val="201547"/>
                <w:sz w:val="44"/>
              </w:rPr>
              <w:t>37080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Community Participation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the High-Risk Accommodation Response is to provide prevent, prepare for and respond early to coronavirus infection, to minimise transmission in high risk accommodation, including high-rise and low-rise public housing, Supported Residential Services, Rooming Houses and other in scope settings.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High-Risk Accommodation Response (HRAR) is a model of service that enables the rapid delivery of:  •  Catchment planning  •  Prevention and preparedness, and  •  Outbreak responsesIt works to ensure appropriate public health measures are in place to protect the health and wellbeing of residents and that adequate, culturally appropriate and accessible service supports (including health and social services, food and essential supplies) and community engagement strategies are in place.An organisation may be funded to deliver the service in one or more facility types.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FacingThe High-Risk Accommodation Response prioritises access for populations that  •  are at heightened risk of exposure to and transmission of COVID-19 due to the accommodation settings and      place of temporary or permanent residence, for dwellings in scope of the response.   •  have presenting epidemiological factors increasing risk of exposure to or infection transmission The program’s priority population groups are:  •  Aboriginal and Torres Strait Islander people  •  Culturally and linguistically diverse people   •  refugees and people seeking asylum  •  people experiencing homelessness and people at risk of homelessness  •  people in low cost and high-risk accommodation settings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Accreditation through the National Safety and Quality Health Service (NSQHS) Standards.</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COVID-19 information and guidance to support the community services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&lt;https://www.dffh.vic.gov.au/community-services-sector-covid-19#high-risk-accommodation-response-extension-hrar-extensionservice-specifications&gt;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services commenced in other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other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other facilities where a service response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services commenced in supported residential service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supported residential service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supported residential service facilities where a service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services commenced in public housing high rise tower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public housing high rise tower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public housing high rise tower facilities where a service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4: Number of services commenced in high risk community housing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high risk community housing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high risk community housing facilities where a service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5: Number of services commenced in rooming house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rooming house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rooming house facilities where a service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6: Number of services commenced in low rise public housing facilities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low rise public housing facilities with prevention and preparedness responses have been undertaken and, where services have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low rise public housing facilities where a service has commenced.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Prevention and preparedness monitoring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HRAR Acquittal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Commencement includes:</w:t>
            </w:r>
            <w:r>
              <w:br/>
            </w:r>
            <w:r>
              <w:rPr>
                <w:rFonts w:ascii="Arial" w:hAnsi="Arial" w:eastAsia="Arial" w:cs="Arial"/>
                <w:color w:val="000000"/>
                <w:sz w:val="20"/>
              </w:rPr>
              <w:t xml:space="preserve">  •  Establishment of governance </w:t>
            </w:r>
            <w:r>
              <w:br/>
            </w:r>
            <w:r>
              <w:rPr>
                <w:rFonts w:ascii="Arial" w:hAnsi="Arial" w:eastAsia="Arial" w:cs="Arial"/>
                <w:color w:val="000000"/>
                <w:sz w:val="20"/>
              </w:rPr>
              <w:t xml:space="preserve">  •  Undertaking catchment planning related to prevention of and preparedness</w:t>
            </w:r>
            <w:r>
              <w:br/>
            </w:r>
            <w:r>
              <w:rPr>
                <w:rFonts w:ascii="Arial" w:hAnsi="Arial" w:eastAsia="Arial" w:cs="Arial"/>
                <w:color w:val="000000"/>
                <w:sz w:val="20"/>
              </w:rPr>
              <w:t xml:space="preserve">      for a COVID-19 outbreak </w:t>
            </w:r>
            <w:r>
              <w:br/>
            </w:r>
            <w:r>
              <w:rPr>
                <w:rFonts w:ascii="Arial" w:hAnsi="Arial" w:eastAsia="Arial" w:cs="Arial"/>
                <w:color w:val="000000"/>
                <w:sz w:val="20"/>
              </w:rPr>
              <w:t xml:space="preserve">  •  Catchment and facility risk assessment </w:t>
            </w:r>
            <w:r>
              <w:br/>
            </w:r>
            <w:r>
              <w:rPr>
                <w:rFonts w:ascii="Arial" w:hAnsi="Arial" w:eastAsia="Arial" w:cs="Arial"/>
                <w:color w:val="000000"/>
                <w:sz w:val="20"/>
              </w:rPr>
              <w:t xml:space="preserve">  •  Prevention and preparedness or outbreak response for in scope facilities.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HRAR Catchment Planning</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HRAR Prevention and preparedness monitoring</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HRAR Acquittal</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2"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February 2021</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37080 High Risk Accommodation Response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