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3</Characters>
  <Application>Microsoft Office Word</Application>
  <DocSecurity>0</DocSecurity>
  <Lines>1</Lines>
  <Paragraphs>1</Paragraphs>
  <ScaleCrop>false</ScaleCrop>
  <Company>Oracle USA</Company>
  <LinksUpToDate>false</LinksUpToDate>
  <CharactersWithSpaces>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Description Health and Human Services Pathways (support for Victorian Sex Workers) 37073</dc:title>
  <dc:subject/>
  <dc:creator>User</dc:creator>
  <cp:keywords/>
  <dc:description>Generated by Oracle BI Publisher 12.2.1.3.0</dc:description>
  <cp:lastModifiedBy>User</cp:lastModifiedBy>
  <cp:revision>2</cp:revision>
  <dcterms:created xsi:type="dcterms:W3CDTF">2013-02-11T20:57:00Z</dcterms:created>
  <dcterms:modified xsi:type="dcterms:W3CDTF">2013-02-11T20:57:00Z</dcterms:modified>
</cp:coreProperti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 Id="rId10" Type="http://schemas.openxmlformats.org/officeDocument/2006/relationships/image" Target="media/image3.png"/>
<Relationship Id="rId11" Type="http://schemas.openxmlformats.org/officeDocument/2006/relationships/hyperlink" Target="https://www.legislation.vic.gov.au/as-made/statutory-rules/social-services-regulations-2023" TargetMode="External"/>
<Relationship Id="rId12" Type="http://schemas.openxmlformats.org/officeDocument/2006/relationships/hyperlink" Target="https://www.vic.gov.au/social-services-regulator" TargetMode="External"/>
<Relationship Id="rId13" Type="http://schemas.openxmlformats.org/officeDocument/2006/relationships/hyperlink" Target="http://providers.dffh.vic.gov.au/families-fairness-housing-health-activity-search" TargetMode="External"/>
<Relationship Id="rId14" Type="http://schemas.openxmlformats.org/officeDocument/2006/relationships/numbering" Target="numbering.xml"/>
</Relationships>

</file>

<file path=word\_rels\footer1.xml.rels><?xml version="1.0" encoding="UTF-8" standalone="yes"?>
<Relationships xmlns="http://schemas.openxmlformats.org/package/2006/relationships">
<Relationship Id="rId1" Type="http://schemas.openxmlformats.org/officeDocument/2006/relationships/image" Target="media/image2.png"/>
</Relationships>

</file>

<file path=word\_rels\footer2.xml.rels><?xml version="1.0" encoding="UTF-8" standalone="yes"?>
<Relationships xmlns="http://schemas.openxmlformats.org/package/2006/relationships">
<Relationship Id="rId1" Type="http://schemas.openxmlformats.org/officeDocument/2006/relationships/image" Target="media/image1.png"/>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100" w:line="288" w:lineRule="auto"/>
        <w:ind w:left="-699"/>
        <w:rPr/>
      </w:pPr>
      <w:r>
        <w:rPr>
          <w:noProof/>
        </w:rPr>
        <w:drawing>
          <wp:inline distT="0" distB="0" distL="0" distR="0">
            <wp:extent cx="7516494" cy="132492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pic:nvPicPr>
                  <pic:blipFill>
                    <a:blip r:embed="rId10">
                      <a:extLst>
                        <a:ext uri="{28A0092B-C50C-407E-A947-70E740481C1C}">
                          <a14:useLocalDpi xmlns:a14="http://schemas.microsoft.com/office/drawing/2010/main" val="0"/>
                        </a:ext>
                      </a:extLst>
                    </a:blip>
                    <a:stretch>
                      <a:fillRect/>
                    </a:stretch>
                  </pic:blipFill>
                  <pic:spPr>
                    <a:xfrm>
                      <a:off x="0" y="0"/>
                      <a:ext cx="7516494" cy="1324927"/>
                    </a:xfrm>
                    <a:prstGeom prst="rect">
                      <a:avLst/>
                    </a:prstGeom>
                  </pic:spPr>
                </pic:pic>
              </a:graphicData>
            </a:graphic>
          </wp:inline>
        </w:drawing>
      </w:r>
    </w:p>
    <w:tbl>
      <w:tblPr>
        <w:tblW w:w="0" w:type="auto"/>
        <w:tblInd w:w="111" w:type="dxa"/>
        <w:tblLayout w:type="fixed"/>
        <w:tblCellMar>
          <w:left w:w="0" w:type="dxa"/>
          <w:right w:w="0" w:type="dxa"/>
        </w:tblCellMar>
      </w:tblPr>
      <w:tblGrid>
        <w:gridCol w:w="10206"/>
      </w:tblGrid>
      <w:tr>
        <w:tc>
          <w:tcPr>
            <w:tcW w:w="10206" w:type="dxa"/>
            <w:vAlign w:val="bottom"/>
            <w:shd w:val="clear" w:color="auto" w:fill="FFFFFF"/>
          </w:tcPr>
          <w:p>
            <w:pPr>
              <w:spacing w:line="560" w:lineRule="atLeast"/>
              <w:rPr>
                <w:rFonts w:ascii="Arial" w:hAnsi="Arial" w:eastAsia="Arial" w:cs="Arial"/>
                <w:color w:val="000000"/>
                <w:sz w:val="20"/>
              </w:rPr>
            </w:pPr>
            <w:r>
              <w:rPr>
                <w:rFonts w:ascii="Arial" w:hAnsi="Arial" w:eastAsia="Arial" w:cs="Arial"/>
                <w:color w:val="000000"/>
                <w:sz w:val="20"/>
              </w:rPr>
              <w:t/>
            </w:r>
          </w:p>
          <w:p>
            <w:pPr>
              <w:spacing w:line="560" w:lineRule="atLeast"/>
              <w:rPr>
                <w:rFonts w:ascii="Arial" w:hAnsi="Arial" w:eastAsia="Arial" w:cs="Arial"/>
                <w:color w:val="201547"/>
                <w:sz w:val="44"/>
              </w:rPr>
            </w:pPr>
            <w:r>
              <w:rPr>
                <w:rFonts w:ascii="Arial" w:hAnsi="Arial" w:eastAsia="Arial" w:cs="Arial"/>
                <w:color w:val="201547"/>
                <w:sz w:val="44"/>
              </w:rPr>
              <w:t>Pathways (support for Victorian Sex Workers)</w:t>
            </w:r>
          </w:p>
          <w:p>
            <w:pPr>
              <w:spacing w:line="560" w:lineRule="atLeast"/>
              <w:rPr>
                <w:rFonts w:ascii="Arial" w:hAnsi="Arial" w:eastAsia="Arial" w:cs="Arial"/>
                <w:color w:val="201547"/>
                <w:sz w:val="44"/>
              </w:rPr>
            </w:pPr>
            <w:r>
              <w:rPr>
                <w:rFonts w:ascii="Arial" w:hAnsi="Arial" w:eastAsia="Arial" w:cs="Arial"/>
                <w:color w:val="201547"/>
                <w:sz w:val="44"/>
              </w:rPr>
              <w:t>37073</w:t>
            </w:r>
          </w:p>
        </w:tc>
      </w:tr>
      <w:tr>
        <w:tc>
          <w:tcPr>
            <w:tcW w:w="10206" w:type="dxa"/>
            <w:shd w:val="clear" w:color="auto" w:fill="FFFFFF"/>
          </w:tcPr>
          <w:p>
            <w:pPr>
              <w:spacing w:after="120"/>
              <w:rPr>
                <w:rFonts w:ascii="Arial" w:hAnsi="Arial" w:eastAsia="Arial" w:cs="Arial"/>
                <w:color w:val="201547"/>
                <w:sz w:val="28"/>
              </w:rPr>
            </w:pPr>
            <w:r>
              <w:rPr>
                <w:rFonts w:ascii="Arial" w:hAnsi="Arial" w:eastAsia="Arial" w:cs="Arial"/>
                <w:color w:val="201547"/>
                <w:sz w:val="28"/>
              </w:rPr>
              <w:t>Outcome objective: Victorians are safe and secure</w:t>
            </w:r>
          </w:p>
          <w:p>
            <w:pPr>
              <w:spacing w:after="120"/>
              <w:rPr>
                <w:rFonts w:ascii="Arial" w:hAnsi="Arial" w:eastAsia="Arial" w:cs="Arial"/>
                <w:color w:val="201547"/>
                <w:sz w:val="28"/>
              </w:rPr>
            </w:pPr>
            <w:r>
              <w:rPr>
                <w:rFonts w:ascii="Arial" w:hAnsi="Arial" w:eastAsia="Arial" w:cs="Arial"/>
                <w:color w:val="201547"/>
                <w:sz w:val="28"/>
              </w:rPr>
              <w:t>Output group: Empowering Individuals and Communities</w:t>
            </w:r>
          </w:p>
          <w:p>
            <w:pPr>
              <w:spacing w:after="120"/>
              <w:rPr>
                <w:rFonts w:ascii="Arial" w:hAnsi="Arial" w:eastAsia="Arial" w:cs="Arial"/>
                <w:color w:val="201547"/>
                <w:sz w:val="28"/>
              </w:rPr>
            </w:pPr>
            <w:r>
              <w:rPr>
                <w:rFonts w:ascii="Arial" w:hAnsi="Arial" w:eastAsia="Arial" w:cs="Arial"/>
                <w:color w:val="201547"/>
                <w:sz w:val="28"/>
              </w:rPr>
              <w:t>Output: Community Participation</w:t>
            </w:r>
          </w:p>
        </w:tc>
      </w:tr>
    </w:tbl>
    <w:p>
      <w:pPr>
        <w:spacing w:line="560" w:lineRule="atLeast"/>
        <w:ind w:left="111" w:right="105"/>
        <w:rPr>
          <w:rFonts w:ascii="Arial" w:hAnsi="Arial" w:eastAsia="Arial" w:cs="Arial"/>
          <w:b/>
          <w:bCs/>
          <w:color w:val="000000"/>
          <w:sz w:val="20"/>
        </w:rPr>
      </w:pPr>
      <w:r>
        <w:rPr>
          <w:rFonts w:ascii="Arial" w:hAnsi="Arial" w:eastAsia="Arial" w:cs="Arial"/>
          <w:b/>
          <w:bCs/>
          <w:color w:val="000000"/>
          <w:sz w:val="20"/>
        </w:rPr>
        <w:t>OFFICIAL</w:t>
      </w:r>
    </w:p>
    <w:p>
      <w:pPr>
        <w:keepNext/>
        <w:keepLines/>
        <w:spacing w:before="320" w:after="200" w:line="440" w:lineRule="atLeast"/>
        <w:ind w:left="111" w:right="105"/>
        <w:rPr>
          <w:rFonts w:ascii="Arial" w:hAnsi="Arial" w:eastAsia="Arial" w:cs="Arial"/>
          <w:b/>
          <w:bCs/>
          <w:color w:val="201547"/>
          <w:sz w:val="28"/>
        </w:rPr>
      </w:pPr>
      <w:r>
        <w:rPr>
          <w:rFonts w:ascii="Arial" w:hAnsi="Arial" w:eastAsia="Arial" w:cs="Arial"/>
          <w:b/>
          <w:bCs/>
          <w:color w:val="201547"/>
          <w:sz w:val="28"/>
        </w:rPr>
        <w:t>1. Service objective</w:t>
      </w:r>
    </w:p>
    <w:p>
      <w:pPr>
        <w:spacing w:line="270" w:lineRule="atLeast"/>
        <w:ind w:left="111" w:right="105"/>
        <w:rPr>
          <w:rFonts w:ascii="Arial" w:hAnsi="Arial" w:eastAsia="Arial" w:cs="Arial"/>
          <w:color w:val="000000"/>
          <w:sz w:val="20"/>
        </w:rPr>
      </w:pPr>
      <w:r>
        <w:rPr>
          <w:rFonts w:ascii="Arial" w:hAnsi="Arial" w:eastAsia="Arial" w:cs="Arial"/>
          <w:color w:val="000000"/>
          <w:sz w:val="20"/>
        </w:rPr>
        <w:t>Provide support to sex workers wanting to increase their control of their health and wellbeing, and their employment pathways.</w:t>
      </w:r>
    </w:p>
    <w:p>
      <w:pPr>
        <w:keepNext/>
        <w:keepLines/>
        <w:spacing w:before="320" w:after="200" w:line="440" w:lineRule="atLeast"/>
        <w:ind w:left="111" w:right="105"/>
        <w:rPr>
          <w:rFonts w:ascii="Arial" w:hAnsi="Arial" w:eastAsia="Arial" w:cs="Arial"/>
          <w:b/>
          <w:bCs/>
          <w:color w:val="201547"/>
          <w:sz w:val="28"/>
        </w:rPr>
      </w:pPr>
      <w:r>
        <w:rPr>
          <w:rFonts w:ascii="Arial" w:hAnsi="Arial" w:eastAsia="Arial" w:cs="Arial"/>
          <w:b/>
          <w:bCs/>
          <w:color w:val="201547"/>
          <w:sz w:val="28"/>
        </w:rPr>
        <w:t>2. Description of the service</w:t>
      </w:r>
    </w:p>
    <w:p>
      <w:pPr>
        <w:spacing w:line="270" w:lineRule="atLeast"/>
        <w:ind w:left="111" w:right="105"/>
        <w:rPr>
          <w:rFonts w:ascii="Arial" w:hAnsi="Arial" w:eastAsia="Arial" w:cs="Arial"/>
          <w:color w:val="000000"/>
          <w:sz w:val="20"/>
        </w:rPr>
      </w:pPr>
      <w:r>
        <w:rPr>
          <w:rFonts w:ascii="Arial" w:hAnsi="Arial" w:eastAsia="Arial" w:cs="Arial"/>
          <w:color w:val="000000"/>
          <w:sz w:val="20"/>
        </w:rPr>
        <w:t>Deliver a holistic case management to support sex workers to develop their employment pathways by supporting education and employment opportunities, and specialised justice case management for incarcerated sex workers</w:t>
      </w:r>
      <w:r>
        <w:br/>
      </w:r>
      <w:r>
        <w:rPr>
          <w:rFonts w:ascii="Arial" w:hAnsi="Arial" w:eastAsia="Arial" w:cs="Arial"/>
          <w:color w:val="000000"/>
          <w:sz w:val="20"/>
        </w:rPr>
        <w:t>Provide a trusting and respectful point of contact and safety for those workers experiencing the effects of homelessness and poverty i.e.: illness, theft of belongings, violence, psychosis, unwanted involvement in street sex work.</w:t>
      </w:r>
      <w:r>
        <w:br/>
      </w:r>
      <w:r>
        <w:rPr>
          <w:rFonts w:ascii="Arial" w:hAnsi="Arial" w:eastAsia="Arial" w:cs="Arial"/>
          <w:color w:val="000000"/>
          <w:sz w:val="20"/>
        </w:rPr>
        <w:t>Provide a client-centred and individually tailored service with community and peer involvement</w:t>
      </w:r>
      <w:r>
        <w:br/>
      </w:r>
      <w:r>
        <w:rPr>
          <w:rFonts w:ascii="Arial" w:hAnsi="Arial" w:eastAsia="Arial" w:cs="Arial"/>
          <w:color w:val="000000"/>
          <w:sz w:val="20"/>
        </w:rPr>
        <w:t>Use a strengths-based, social model of care and human rights with an emphasis on harm minimization and consumer choice.</w:t>
      </w:r>
    </w:p>
    <w:p>
      <w:pPr>
        <w:keepNext/>
        <w:keepLines/>
        <w:spacing w:before="320" w:after="200" w:line="440" w:lineRule="atLeast"/>
        <w:ind w:left="111" w:right="105"/>
        <w:rPr>
          <w:rFonts w:ascii="Arial" w:hAnsi="Arial" w:eastAsia="Arial" w:cs="Arial"/>
          <w:b/>
          <w:bCs/>
          <w:color w:val="201547"/>
          <w:sz w:val="28"/>
        </w:rPr>
      </w:pPr>
      <w:r>
        <w:rPr>
          <w:rFonts w:ascii="Arial" w:hAnsi="Arial" w:eastAsia="Arial" w:cs="Arial"/>
          <w:b/>
          <w:bCs/>
          <w:color w:val="201547"/>
          <w:sz w:val="28"/>
        </w:rPr>
        <w:t>3. Client group</w:t>
      </w:r>
    </w:p>
    <w:p>
      <w:pPr>
        <w:spacing w:line="288" w:lineRule="auto"/>
        <w:ind w:left="111" w:right="105"/>
        <w:rPr>
          <w:rFonts w:ascii="Arial" w:hAnsi="Arial" w:eastAsia="Arial" w:cs="Arial"/>
          <w:color w:val="000000"/>
          <w:sz w:val="20"/>
        </w:rPr>
      </w:pPr>
      <w:r>
        <w:rPr>
          <w:rFonts w:ascii="Arial" w:hAnsi="Arial" w:eastAsia="Arial" w:cs="Arial"/>
          <w:color w:val="000000"/>
          <w:sz w:val="20"/>
        </w:rPr>
        <w:t>Community service organisations delivering case management and other service support to sex workers.</w:t>
      </w:r>
    </w:p>
    <w:p>
      <w:pPr>
        <w:keepNext/>
        <w:keepLines/>
        <w:spacing w:before="320" w:after="200" w:line="440" w:lineRule="atLeast"/>
        <w:ind w:left="111" w:right="105"/>
        <w:rPr>
          <w:rFonts w:ascii="Arial" w:hAnsi="Arial" w:eastAsia="Arial" w:cs="Arial"/>
          <w:b/>
          <w:bCs/>
          <w:color w:val="201547"/>
          <w:sz w:val="28"/>
        </w:rPr>
      </w:pPr>
      <w:r>
        <w:rPr>
          <w:rFonts w:ascii="Arial" w:hAnsi="Arial" w:eastAsia="Arial" w:cs="Arial"/>
          <w:b/>
          <w:bCs/>
          <w:color w:val="201547"/>
          <w:sz w:val="28"/>
        </w:rPr>
        <w:t>4. Obligations specific to this activity</w:t>
      </w:r>
    </w:p>
    <w:p>
      <w:pPr>
        <w:spacing w:line="288" w:lineRule="auto"/>
        <w:ind w:left="111" w:right="105"/>
        <w:rPr>
          <w:rFonts w:ascii="Arial" w:hAnsi="Arial" w:eastAsia="Arial" w:cs="Arial"/>
          <w:color w:val="000000"/>
          <w:sz w:val="20"/>
        </w:rPr>
      </w:pPr>
      <w:r>
        <w:rPr>
          <w:rFonts w:ascii="Arial" w:hAnsi="Arial" w:eastAsia="Arial" w:cs="Arial"/>
          <w:color w:val="000000"/>
          <w:sz w:val="20"/>
        </w:rPr>
        <w:t>In addition to the obligations listed in the Service Agreement, organisations funded to deliver this activity must comply with the following:</w:t>
      </w:r>
    </w:p>
    <w:p>
      <w:pPr>
        <w:spacing w:before="240" w:after="90" w:line="320" w:lineRule="atLeast"/>
        <w:ind w:left="111" w:right="105"/>
        <w:rPr>
          <w:rFonts w:ascii="Arial" w:hAnsi="Arial" w:eastAsia="Arial" w:cs="Arial"/>
          <w:b/>
          <w:bCs/>
          <w:color w:val="201547"/>
          <w:sz w:val="22"/>
        </w:rPr>
      </w:pPr>
      <w:r>
        <w:rPr>
          <w:rFonts w:ascii="Arial" w:hAnsi="Arial" w:eastAsia="Arial" w:cs="Arial"/>
          <w:b/>
          <w:bCs/>
          <w:color w:val="201547"/>
          <w:sz w:val="22"/>
        </w:rPr>
        <w:t>4a. Registration and Accreditation</w:t>
      </w:r>
    </w:p>
    <w:p>
      <w:pPr>
        <w:numPr>
          <w:ilvl w:val="0"/>
          <w:numId w:val="7"/>
        </w:numPr>
        <w:spacing w:after="40" w:line="270" w:lineRule="atLeast"/>
        <w:rPr>
          <w:rFonts w:ascii="Arial" w:hAnsi="Arial" w:eastAsia="Arial" w:cs="Arial"/>
          <w:b/>
          <w:bCs/>
          <w:color w:val="000000"/>
          <w:sz w:val="20"/>
        </w:rPr>
      </w:pPr>
      <w:r>
        <w:rPr>
          <w:rFonts w:ascii="Arial" w:hAnsi="Arial" w:eastAsia="Arial" w:cs="Arial"/>
          <w:color w:val="000000"/>
          <w:sz w:val="20"/>
        </w:rPr>
        <w:t>Providers of social services in Victoria who are in scope of the scheme must register with the Social Services Regulator (SSR) and comply with legislative requirements under the Social Services Regulation Act. Refer to the definitions in Part 1 of the Social Services Regulations 2023 (</w:t>
      </w:r>
      <w:hyperlink r:id="rId11" w:tgtFrame="_blank" w:history="1">
        <w:r>
          <w:rPr>
            <w:rFonts w:ascii="Arial" w:hAnsi="Arial" w:eastAsia="Arial" w:cs="Arial"/>
            <w:color w:val="3366FF"/>
            <w:sz w:val="20"/>
          </w:rPr>
          <w:t>https://www.legislation.vic.gov.au/as-made/statutory-rules/social-services-regulations-2023</w:t>
        </w:r>
      </w:hyperlink>
      <w:r>
        <w:rPr>
          <w:rFonts w:ascii="Arial" w:hAnsi="Arial" w:eastAsia="Arial" w:cs="Arial"/>
          <w:color w:val="000000"/>
          <w:sz w:val="20"/>
        </w:rPr>
        <w:t>) and the SSR website (</w:t>
      </w:r>
      <w:hyperlink r:id="rId12" w:tgtFrame="_blank" w:history="1">
        <w:r>
          <w:rPr>
            <w:rFonts w:ascii="Arial" w:hAnsi="Arial" w:eastAsia="Arial" w:cs="Arial"/>
            <w:color w:val="3366FF"/>
            <w:sz w:val="20"/>
          </w:rPr>
          <w:t>https://www.vic.gov.au/social-services-regulator</w:t>
        </w:r>
      </w:hyperlink>
      <w:r>
        <w:rPr>
          <w:rFonts w:ascii="Arial" w:hAnsi="Arial" w:eastAsia="Arial" w:cs="Arial"/>
          <w:color w:val="000000"/>
          <w:sz w:val="20"/>
        </w:rPr>
        <w:t>) to determine if services are in scope of registration.</w:t>
      </w:r>
      <w:r>
        <w:rPr>
          <w:rFonts w:ascii="Arial" w:hAnsi="Arial" w:eastAsia="Arial" w:cs="Arial"/>
          <w:b/>
          <w:bCs/>
          <w:color w:val="000000"/>
          <w:sz w:val="20"/>
        </w:rPr>
        <w:t xml:space="preserve"> </w:t>
      </w:r>
    </w:p>
    <w:p>
      <w:pPr>
        <w:spacing w:before="240" w:after="90" w:line="320" w:lineRule="atLeast"/>
        <w:ind w:left="111" w:right="105"/>
        <w:rPr>
          <w:rFonts w:ascii="Arial" w:hAnsi="Arial" w:eastAsia="Arial" w:cs="Arial"/>
          <w:color w:val="000000"/>
          <w:sz w:val="22"/>
        </w:rPr>
      </w:pPr>
      <w:r>
        <w:rPr>
          <w:rFonts w:ascii="Arial" w:hAnsi="Arial" w:eastAsia="Arial" w:cs="Arial"/>
          <w:b/>
          <w:bCs/>
          <w:color w:val="201547"/>
          <w:sz w:val="22"/>
        </w:rPr>
        <w:t>4b. Program requirements and other policy guidelines</w:t>
      </w:r>
      <w:r>
        <w:rPr>
          <w:rFonts w:ascii="Arial" w:hAnsi="Arial" w:eastAsia="Arial" w:cs="Arial"/>
          <w:color w:val="000000"/>
          <w:sz w:val="22"/>
        </w:rPr>
        <w:t/>
      </w:r>
    </w:p>
    <w:p>
      <w:pPr>
        <w:spacing w:after="40" w:line="270" w:lineRule="atLeast"/>
        <w:ind w:left="111" w:right="105"/>
        <w:rPr>
          <w:rFonts w:ascii="Arial" w:hAnsi="Arial" w:eastAsia="Arial" w:cs="Arial"/>
          <w:color w:val="000000"/>
          <w:sz w:val="20"/>
        </w:rPr>
      </w:pPr>
      <w:r>
        <w:rPr>
          <w:rFonts w:ascii="Arial" w:hAnsi="Arial" w:eastAsia="Arial" w:cs="Arial"/>
          <w:color w:val="000000"/>
          <w:sz w:val="20"/>
        </w:rPr>
        <w:t>N/A</w:t>
      </w:r>
    </w:p>
    <w:p>
      <w:pPr>
        <w:spacing w:line="270" w:lineRule="atLeast"/>
        <w:ind w:left="111" w:right="105"/>
        <w:rPr>
          <w:rFonts w:ascii="Arial" w:hAnsi="Arial" w:eastAsia="Arial" w:cs="Arial"/>
          <w:color w:val="000000"/>
          <w:sz w:val="20"/>
        </w:rPr>
      </w:pPr>
      <w:r>
        <w:rPr>
          <w:rFonts w:ascii="Arial" w:hAnsi="Arial" w:eastAsia="Arial" w:cs="Arial"/>
          <w:color w:val="000000"/>
          <w:sz w:val="20"/>
        </w:rPr>
        <w:t/>
      </w:r>
    </w:p>
    <w:p>
      <w:pPr>
        <w:spacing w:before="320" w:after="200" w:line="440" w:lineRule="atLeast"/>
        <w:ind w:left="111" w:right="105"/>
        <w:rPr>
          <w:rFonts w:ascii="Arial" w:hAnsi="Arial" w:eastAsia="Arial" w:cs="Arial"/>
          <w:color w:val="000000"/>
          <w:sz w:val="20"/>
        </w:rPr>
      </w:pPr>
      <w:r>
        <w:rPr>
          <w:rFonts w:ascii="Arial" w:hAnsi="Arial" w:eastAsia="Arial" w:cs="Arial"/>
          <w:b/>
          <w:bCs/>
          <w:color w:val="201547"/>
          <w:sz w:val="28"/>
        </w:rPr>
        <w:t>5. Performance</w:t>
      </w:r>
      <w:r>
        <w:rPr>
          <w:rFonts w:ascii="Arial" w:hAnsi="Arial" w:eastAsia="Arial" w:cs="Arial"/>
          <w:color w:val="000000"/>
          <w:sz w:val="20"/>
        </w:rPr>
        <w:t/>
      </w:r>
    </w:p>
    <w:p>
      <w:pPr>
        <w:spacing w:line="288" w:lineRule="auto"/>
        <w:ind w:left="111" w:right="105"/>
        <w:rPr>
          <w:rFonts w:ascii="Arial" w:hAnsi="Arial" w:eastAsia="Arial" w:cs="Arial"/>
          <w:color w:val="000000"/>
          <w:sz w:val="20"/>
        </w:rPr>
      </w:pPr>
      <w:r>
        <w:rPr>
          <w:rFonts w:ascii="Arial" w:hAnsi="Arial" w:eastAsia="Arial" w:cs="Arial"/>
          <w:color w:val="000000"/>
          <w:sz w:val="20"/>
        </w:rPr>
        <w:t xml:space="preserve">Funding is subject to achieving the performance targets specified in Schedule 2 of the Service Agreement. </w:t>
      </w:r>
    </w:p>
    <w:p>
      <w:pPr>
        <w:spacing w:before="100" w:line="288" w:lineRule="auto"/>
        <w:ind w:left="111" w:right="105"/>
        <w:rPr>
          <w:rFonts w:ascii="Arial" w:hAnsi="Arial" w:eastAsia="Arial" w:cs="Arial"/>
          <w:b/>
          <w:bCs/>
          <w:color w:val="000000"/>
          <w:sz w:val="20"/>
        </w:rPr>
      </w:pPr>
      <w:r>
        <w:rPr>
          <w:rFonts w:ascii="Arial" w:hAnsi="Arial" w:eastAsia="Arial" w:cs="Arial"/>
          <w:color w:val="000000"/>
          <w:sz w:val="20"/>
        </w:rPr>
        <w:t>Performance is measured as follows:</w:t>
      </w:r>
      <w:r>
        <w:rPr>
          <w:rFonts w:ascii="Arial" w:hAnsi="Arial" w:eastAsia="Arial" w:cs="Arial"/>
          <w:b/>
          <w:bCs/>
          <w:color w:val="000000"/>
          <w:sz w:val="20"/>
        </w:rPr>
        <w:t xml:space="preserve"> </w:t>
      </w:r>
    </w:p>
    <w:p>
      <w:pPr>
        <w:spacing w:before="100" w:line="288" w:lineRule="auto"/>
        <w:ind w:left="111" w:right="105"/>
        <w:rPr>
          <w:rFonts w:ascii="Arial" w:hAnsi="Arial" w:eastAsia="Arial" w:cs="Arial"/>
          <w:b/>
          <w:bCs/>
          <w:color w:val="201547"/>
          <w:sz w:val="20"/>
        </w:rPr>
      </w:pPr>
      <w:r>
        <w:rPr>
          <w:rFonts w:ascii="Arial" w:hAnsi="Arial" w:eastAsia="Arial" w:cs="Arial"/>
          <w:b/>
          <w:bCs/>
          <w:color w:val="201547"/>
          <w:sz w:val="20"/>
        </w:rPr>
        <w:t>Key performance measure 1: Provide a report</w:t>
      </w:r>
    </w:p>
    <w:tbl>
      <w:tblPr>
        <w:tblW w:w="0" w:type="auto"/>
        <w:tblInd w:w="111" w:type="dxa"/>
        <w:tblLayout w:type="fixed"/>
        <w:tblCellMar>
          <w:left w:w="0" w:type="dxa"/>
          <w:right w:w="0" w:type="dxa"/>
        </w:tblCellMar>
      </w:tblPr>
      <w:tblGrid>
        <w:gridCol w:w="2835"/>
        <w:gridCol w:w="7379"/>
      </w:tblGrid>
      <w:tr>
        <w:trPr>
          <w:cantSplit/>
        </w:trPr>
        <w:tc>
          <w:tcPr>
            <w:tcW w:w="2835"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b/>
                <w:bCs/>
                <w:color w:val="201547"/>
                <w:sz w:val="20"/>
              </w:rPr>
            </w:pPr>
            <w:r>
              <w:rPr>
                <w:rFonts w:ascii="Arial" w:hAnsi="Arial" w:eastAsia="Arial" w:cs="Arial"/>
                <w:b/>
                <w:bCs/>
                <w:color w:val="201547"/>
                <w:sz w:val="20"/>
              </w:rPr>
              <w:t>Aim/objective</w:t>
            </w:r>
          </w:p>
        </w:tc>
        <w:tc>
          <w:tcPr>
            <w:tcW w:w="7379"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color w:val="000000"/>
                <w:sz w:val="20"/>
              </w:rPr>
            </w:pPr>
            <w:r>
              <w:rPr>
                <w:rFonts w:ascii="Arial" w:hAnsi="Arial" w:eastAsia="Arial" w:cs="Arial"/>
                <w:color w:val="000000"/>
                <w:sz w:val="20"/>
              </w:rPr>
              <w:t>Provide support to sex workers wanting to increase their control of their health and wellbeing, and their employment pathways</w:t>
            </w:r>
          </w:p>
        </w:tc>
      </w:tr>
      <w:tr>
        <w:trPr>
          <w:cantSplit/>
        </w:trPr>
        <w:tc>
          <w:tcPr>
            <w:tcW w:w="2835"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b/>
                <w:bCs/>
                <w:color w:val="201547"/>
                <w:sz w:val="20"/>
              </w:rPr>
            </w:pPr>
            <w:r>
              <w:rPr>
                <w:rFonts w:ascii="Arial" w:hAnsi="Arial" w:eastAsia="Arial" w:cs="Arial"/>
                <w:b/>
                <w:bCs/>
                <w:color w:val="201547"/>
                <w:sz w:val="20"/>
              </w:rPr>
              <w:t>Target</w:t>
            </w:r>
          </w:p>
        </w:tc>
        <w:tc>
          <w:tcPr>
            <w:tcW w:w="7379"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color w:val="000000"/>
                <w:sz w:val="20"/>
              </w:rPr>
            </w:pPr>
            <w:r>
              <w:rPr>
                <w:rFonts w:ascii="Arial" w:hAnsi="Arial" w:eastAsia="Arial" w:cs="Arial"/>
                <w:color w:val="000000"/>
                <w:sz w:val="20"/>
              </w:rPr>
              <w:t>The performance measure target is provided in the Service Agreement.</w:t>
            </w:r>
          </w:p>
        </w:tc>
      </w:tr>
      <w:tr>
        <w:trPr>
          <w:cantSplit/>
        </w:trPr>
        <w:tc>
          <w:tcPr>
            <w:tcW w:w="2835"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b/>
                <w:bCs/>
                <w:color w:val="201547"/>
                <w:sz w:val="20"/>
              </w:rPr>
            </w:pPr>
            <w:r>
              <w:rPr>
                <w:rFonts w:ascii="Arial" w:hAnsi="Arial" w:eastAsia="Arial" w:cs="Arial"/>
                <w:b/>
                <w:bCs/>
                <w:color w:val="201547"/>
                <w:sz w:val="20"/>
              </w:rPr>
              <w:t>Type of count</w:t>
            </w:r>
          </w:p>
        </w:tc>
        <w:tc>
          <w:tcPr>
            <w:tcW w:w="7379"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color w:val="000000"/>
                <w:sz w:val="20"/>
              </w:rPr>
            </w:pPr>
            <w:r>
              <w:rPr>
                <w:rFonts w:ascii="Arial" w:hAnsi="Arial" w:eastAsia="Arial" w:cs="Arial"/>
                <w:color w:val="000000"/>
                <w:sz w:val="20"/>
              </w:rPr>
              <w:t xml:space="preserve"> Non-cumulative</w:t>
            </w:r>
          </w:p>
        </w:tc>
      </w:tr>
      <w:tr>
        <w:trPr>
          <w:cantSplit/>
        </w:trPr>
        <w:tc>
          <w:tcPr>
            <w:tcW w:w="2835"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b/>
                <w:bCs/>
                <w:color w:val="201547"/>
                <w:sz w:val="20"/>
              </w:rPr>
            </w:pPr>
            <w:r>
              <w:rPr>
                <w:rFonts w:ascii="Arial" w:hAnsi="Arial" w:eastAsia="Arial" w:cs="Arial"/>
                <w:b/>
                <w:bCs/>
                <w:color w:val="201547"/>
                <w:sz w:val="20"/>
              </w:rPr>
              <w:t>Counting rule</w:t>
            </w:r>
          </w:p>
        </w:tc>
        <w:tc>
          <w:tcPr>
            <w:tcW w:w="7379"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color w:val="000000"/>
                <w:sz w:val="20"/>
              </w:rPr>
            </w:pPr>
            <w:r>
              <w:rPr>
                <w:rFonts w:ascii="Arial" w:hAnsi="Arial" w:eastAsia="Arial" w:cs="Arial"/>
                <w:color w:val="000000"/>
                <w:sz w:val="20"/>
              </w:rPr>
              <w:t>One annual workplan – end of August each year</w:t>
            </w:r>
            <w:r>
              <w:br/>
            </w:r>
            <w:r>
              <w:rPr>
                <w:rFonts w:ascii="Arial" w:hAnsi="Arial" w:eastAsia="Arial" w:cs="Arial"/>
                <w:color w:val="000000"/>
                <w:sz w:val="20"/>
              </w:rPr>
              <w:t>Three quarterly reports – September, December and March each year</w:t>
            </w:r>
            <w:r>
              <w:br/>
            </w:r>
            <w:r>
              <w:rPr>
                <w:rFonts w:ascii="Arial" w:hAnsi="Arial" w:eastAsia="Arial" w:cs="Arial"/>
                <w:color w:val="000000"/>
                <w:sz w:val="20"/>
              </w:rPr>
              <w:t>One Annual Report June each year</w:t>
            </w:r>
          </w:p>
        </w:tc>
      </w:tr>
      <w:tr>
        <w:trPr>
          <w:cantSplit/>
        </w:trPr>
        <w:tc>
          <w:tcPr>
            <w:tcW w:w="2835"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b/>
                <w:bCs/>
                <w:color w:val="201547"/>
                <w:sz w:val="20"/>
              </w:rPr>
            </w:pPr>
            <w:r>
              <w:rPr>
                <w:rFonts w:ascii="Arial" w:hAnsi="Arial" w:eastAsia="Arial" w:cs="Arial"/>
                <w:b/>
                <w:bCs/>
                <w:color w:val="201547"/>
                <w:sz w:val="20"/>
              </w:rPr>
              <w:t>Data source(s) collection</w:t>
            </w:r>
          </w:p>
        </w:tc>
        <w:tc>
          <w:tcPr>
            <w:tcW w:w="7379" w:type="dxa"/>
            <w:tcBorders>
              <w:top w:val="single" w:sz="4" w:space="0" w:color="000000"/>
              <w:bottom w:val="single" w:sz="4" w:space="0" w:color="000000"/>
              <w:left w:val="single" w:sz="4" w:space="0" w:color="000000"/>
              <w:right w:val="single" w:sz="4" w:space="0" w:color="000000"/>
            </w:tcBorders>
            <w:shd w:val="clear" w:color="auto" w:fill="FFFFFF"/>
          </w:tcPr>
          <w:p>
            <w:pPr>
              <w:keepLines/>
              <w:numPr>
                <w:ilvl w:val="0"/>
                <w:numId w:val="7"/>
              </w:numPr>
              <w:spacing w:line="270" w:lineRule="atLeast"/>
              <w:rPr>
                <w:rFonts w:ascii="Arial" w:hAnsi="Arial" w:eastAsia="Arial" w:cs="Arial"/>
                <w:color w:val="000000"/>
                <w:sz w:val="20"/>
              </w:rPr>
            </w:pPr>
            <w:r>
              <w:rPr>
                <w:rFonts w:ascii="Arial" w:hAnsi="Arial" w:eastAsia="Arial" w:cs="Arial"/>
                <w:color w:val="000000"/>
                <w:sz w:val="20"/>
              </w:rPr>
              <w:t>Pathways Workplan</w:t>
            </w:r>
          </w:p>
          <w:p>
            <w:pPr>
              <w:keepLines/>
              <w:numPr>
                <w:ilvl w:val="0"/>
                <w:numId w:val="7"/>
              </w:numPr>
              <w:spacing w:line="270" w:lineRule="atLeast"/>
              <w:rPr>
                <w:rFonts w:ascii="Arial" w:hAnsi="Arial" w:eastAsia="Arial" w:cs="Arial"/>
                <w:color w:val="000000"/>
                <w:sz w:val="20"/>
              </w:rPr>
            </w:pPr>
            <w:r>
              <w:rPr>
                <w:rFonts w:ascii="Arial" w:hAnsi="Arial" w:eastAsia="Arial" w:cs="Arial"/>
                <w:color w:val="000000"/>
                <w:sz w:val="20"/>
              </w:rPr>
              <w:t>Pathways Quarterly Report</w:t>
            </w:r>
          </w:p>
          <w:p>
            <w:pPr>
              <w:keepLines/>
              <w:numPr>
                <w:ilvl w:val="0"/>
                <w:numId w:val="7"/>
              </w:numPr>
              <w:spacing w:line="270" w:lineRule="atLeast"/>
              <w:rPr>
                <w:rFonts w:ascii="Arial" w:hAnsi="Arial" w:eastAsia="Arial" w:cs="Arial"/>
                <w:color w:val="000000"/>
                <w:sz w:val="20"/>
              </w:rPr>
            </w:pPr>
            <w:r>
              <w:rPr>
                <w:rFonts w:ascii="Arial" w:hAnsi="Arial" w:eastAsia="Arial" w:cs="Arial"/>
                <w:color w:val="000000"/>
                <w:sz w:val="20"/>
              </w:rPr>
              <w:t>Pathways Annual Report</w:t>
            </w:r>
          </w:p>
        </w:tc>
      </w:tr>
      <w:tr>
        <w:trPr>
          <w:cantSplit/>
        </w:trPr>
        <w:tc>
          <w:tcPr>
            <w:tcW w:w="2835"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b/>
                <w:bCs/>
                <w:color w:val="201547"/>
                <w:sz w:val="20"/>
              </w:rPr>
            </w:pPr>
            <w:r>
              <w:rPr>
                <w:rFonts w:ascii="Arial" w:hAnsi="Arial" w:eastAsia="Arial" w:cs="Arial"/>
                <w:b/>
                <w:bCs/>
                <w:color w:val="201547"/>
                <w:sz w:val="20"/>
              </w:rPr>
              <w:t>Definition of terms</w:t>
            </w:r>
          </w:p>
        </w:tc>
        <w:tc>
          <w:tcPr>
            <w:tcW w:w="7379" w:type="dxa"/>
            <w:tcBorders>
              <w:top w:val="single" w:sz="4" w:space="0" w:color="000000"/>
              <w:bottom w:val="single" w:sz="4" w:space="0" w:color="000000"/>
              <w:left w:val="single" w:sz="4" w:space="0" w:color="000000"/>
              <w:right w:val="single" w:sz="4" w:space="0" w:color="000000"/>
            </w:tcBorders>
            <w:shd w:val="clear" w:color="auto" w:fill="FFFFFF"/>
          </w:tcPr>
          <w:p>
            <w:pPr>
              <w:keepLines/>
              <w:spacing w:before="100" w:line="288" w:lineRule="auto"/>
              <w:ind w:left="108" w:right="108"/>
              <w:rPr>
                <w:rFonts w:ascii="Arial" w:hAnsi="Arial" w:eastAsia="Arial" w:cs="Arial"/>
                <w:color w:val="000000"/>
                <w:sz w:val="20"/>
              </w:rPr>
            </w:pPr>
            <w:r>
              <w:rPr>
                <w:rFonts w:ascii="Arial" w:hAnsi="Arial" w:eastAsia="Arial" w:cs="Arial"/>
                <w:color w:val="000000"/>
                <w:sz w:val="20"/>
              </w:rPr>
              <w:t>The Annual Workplan and subsequent reports should include where applicable:</w:t>
            </w:r>
            <w:r>
              <w:br/>
            </w:r>
            <w:r>
              <w:br/>
            </w:r>
            <w:r>
              <w:rPr>
                <w:rFonts w:ascii="Arial" w:hAnsi="Arial" w:eastAsia="Arial" w:cs="Arial"/>
                <w:color w:val="000000"/>
                <w:sz w:val="20"/>
              </w:rPr>
              <w:t xml:space="preserve">• Number of clients year to date </w:t>
            </w:r>
            <w:r>
              <w:br/>
            </w:r>
            <w:r>
              <w:rPr>
                <w:rFonts w:ascii="Arial" w:hAnsi="Arial" w:eastAsia="Arial" w:cs="Arial"/>
                <w:color w:val="000000"/>
                <w:sz w:val="20"/>
              </w:rPr>
              <w:t xml:space="preserve">• Number of clients on the waitlist </w:t>
            </w:r>
            <w:r>
              <w:br/>
            </w:r>
            <w:r>
              <w:rPr>
                <w:rFonts w:ascii="Arial" w:hAnsi="Arial" w:eastAsia="Arial" w:cs="Arial"/>
                <w:color w:val="000000"/>
                <w:sz w:val="20"/>
              </w:rPr>
              <w:t xml:space="preserve">• Reasons why clients are entering / re-entering the program </w:t>
            </w:r>
            <w:r>
              <w:br/>
            </w:r>
            <w:r>
              <w:rPr>
                <w:rFonts w:ascii="Arial" w:hAnsi="Arial" w:eastAsia="Arial" w:cs="Arial"/>
                <w:color w:val="000000"/>
                <w:sz w:val="20"/>
              </w:rPr>
              <w:t>• Number of clients discharged</w:t>
            </w:r>
            <w:r>
              <w:br/>
            </w:r>
            <w:r>
              <w:rPr>
                <w:rFonts w:ascii="Arial" w:hAnsi="Arial" w:eastAsia="Arial" w:cs="Arial"/>
                <w:color w:val="000000"/>
                <w:sz w:val="20"/>
              </w:rPr>
              <w:t>• Referral source</w:t>
            </w:r>
            <w:r>
              <w:br/>
            </w:r>
            <w:r>
              <w:rPr>
                <w:rFonts w:ascii="Arial" w:hAnsi="Arial" w:eastAsia="Arial" w:cs="Arial"/>
                <w:color w:val="000000"/>
                <w:sz w:val="20"/>
              </w:rPr>
              <w:t>• Time spent in sex industry (number of clients in years)</w:t>
            </w:r>
            <w:r>
              <w:br/>
            </w:r>
            <w:r>
              <w:rPr>
                <w:rFonts w:ascii="Arial" w:hAnsi="Arial" w:eastAsia="Arial" w:cs="Arial"/>
                <w:color w:val="000000"/>
                <w:sz w:val="20"/>
              </w:rPr>
              <w:t>• Linkages and referrals to other services including:</w:t>
            </w:r>
            <w:r>
              <w:br/>
            </w:r>
            <w:r>
              <w:rPr>
                <w:rFonts w:ascii="Arial" w:hAnsi="Arial" w:eastAsia="Arial" w:cs="Arial"/>
                <w:color w:val="000000"/>
                <w:sz w:val="20"/>
              </w:rPr>
              <w:t>o	education and training</w:t>
            </w:r>
            <w:r>
              <w:br/>
            </w:r>
            <w:r>
              <w:rPr>
                <w:rFonts w:ascii="Arial" w:hAnsi="Arial" w:eastAsia="Arial" w:cs="Arial"/>
                <w:color w:val="000000"/>
                <w:sz w:val="20"/>
              </w:rPr>
              <w:t>o	health and mental health services including drug and alcohol services housing</w:t>
            </w:r>
            <w:r>
              <w:br/>
            </w:r>
            <w:r>
              <w:rPr>
                <w:rFonts w:ascii="Arial" w:hAnsi="Arial" w:eastAsia="Arial" w:cs="Arial"/>
                <w:color w:val="000000"/>
                <w:sz w:val="20"/>
              </w:rPr>
              <w:t>o	counselling</w:t>
            </w:r>
            <w:r>
              <w:br/>
            </w:r>
            <w:r>
              <w:rPr>
                <w:rFonts w:ascii="Arial" w:hAnsi="Arial" w:eastAsia="Arial" w:cs="Arial"/>
                <w:color w:val="000000"/>
                <w:sz w:val="20"/>
              </w:rPr>
              <w:t>o	financial management</w:t>
            </w:r>
            <w:r>
              <w:br/>
            </w:r>
            <w:r>
              <w:rPr>
                <w:rFonts w:ascii="Arial" w:hAnsi="Arial" w:eastAsia="Arial" w:cs="Arial"/>
                <w:color w:val="000000"/>
                <w:sz w:val="20"/>
              </w:rPr>
              <w:t>o	legal support</w:t>
            </w:r>
          </w:p>
        </w:tc>
      </w:tr>
    </w:tbl>
    <w:p>
      <w:pPr>
        <w:keepNext/>
        <w:keepLines/>
        <w:spacing w:before="320" w:after="200" w:line="440" w:lineRule="atLeast"/>
        <w:ind w:left="111" w:right="105"/>
        <w:rPr>
          <w:rFonts w:ascii="Arial" w:hAnsi="Arial" w:eastAsia="Arial" w:cs="Arial"/>
          <w:b/>
          <w:bCs/>
          <w:color w:val="201547"/>
          <w:sz w:val="28"/>
        </w:rPr>
      </w:pPr>
      <w:r>
        <w:rPr>
          <w:rFonts w:ascii="Arial" w:hAnsi="Arial" w:eastAsia="Arial" w:cs="Arial"/>
          <w:b/>
          <w:bCs/>
          <w:color w:val="201547"/>
          <w:sz w:val="28"/>
        </w:rPr>
        <w:t>6. Data collection</w:t>
      </w:r>
    </w:p>
    <w:p>
      <w:pPr>
        <w:spacing w:line="288" w:lineRule="auto"/>
        <w:ind w:left="111" w:right="105"/>
        <w:rPr>
          <w:rFonts w:ascii="Arial" w:hAnsi="Arial" w:eastAsia="Arial" w:cs="Arial"/>
          <w:b/>
          <w:bCs/>
          <w:color w:val="000000"/>
          <w:sz w:val="20"/>
        </w:rPr>
      </w:pPr>
      <w:r>
        <w:rPr>
          <w:rFonts w:ascii="Arial" w:hAnsi="Arial" w:eastAsia="Arial" w:cs="Arial"/>
          <w:color w:val="000000"/>
          <w:sz w:val="20"/>
        </w:rPr>
        <w:t>The reporting requirements for this service are:</w:t>
      </w:r>
      <w:r>
        <w:rPr>
          <w:rFonts w:ascii="Arial" w:hAnsi="Arial" w:eastAsia="Arial" w:cs="Arial"/>
          <w:b/>
          <w:bCs/>
          <w:color w:val="000000"/>
          <w:sz w:val="20"/>
        </w:rPr>
        <w:t xml:space="preserve"> </w:t>
      </w:r>
      <w:r>
        <w:rPr>
          <w:rFonts w:ascii="Arial" w:hAnsi="Arial" w:eastAsia="Arial" w:cs="Arial"/>
          <w:b/>
          <w:bCs/>
          <w:color w:val="000000"/>
          <w:sz w:val="20"/>
        </w:rPr>
        <w:t/>
      </w:r>
    </w:p>
    <w:tbl>
      <w:tblPr>
        <w:tblW w:w="0" w:type="auto"/>
        <w:tblInd w:w="111" w:type="dxa"/>
        <w:tblLayout w:type="fixed"/>
        <w:tblCellMar>
          <w:left w:w="0" w:type="dxa"/>
          <w:right w:w="0" w:type="dxa"/>
        </w:tblCellMar>
      </w:tblPr>
      <w:tblGrid>
        <w:gridCol w:w="2580"/>
        <w:gridCol w:w="2580"/>
        <w:gridCol w:w="2580"/>
        <w:gridCol w:w="2508"/>
      </w:tblGrid>
      <w:tr>
        <w:trPr>
          <w:tblHeader/>
        </w:trPr>
        <w:tc>
          <w:tcPr>
            <w:tcW w:w="2580" w:type="dxa"/>
            <w:tcBorders>
              <w:top w:val="single" w:sz="4" w:space="0" w:color="000000"/>
              <w:bottom w:val="single" w:sz="4" w:space="0" w:color="000000"/>
              <w:left w:val="single" w:sz="4" w:space="0" w:color="000000"/>
              <w:right w:val="single" w:sz="4" w:space="0" w:color="000000"/>
            </w:tcBorders>
            <w:shd w:val="clear" w:color="auto" w:fill="FFFFFF"/>
          </w:tcPr>
          <w:p>
            <w:pPr>
              <w:spacing w:before="100" w:line="288" w:lineRule="auto"/>
              <w:ind w:left="108" w:right="108"/>
              <w:rPr>
                <w:rFonts w:ascii="Arial" w:hAnsi="Arial" w:eastAsia="Arial" w:cs="Arial"/>
                <w:b/>
                <w:bCs/>
                <w:color w:val="201547"/>
                <w:sz w:val="20"/>
              </w:rPr>
            </w:pPr>
            <w:r>
              <w:rPr>
                <w:rFonts w:ascii="Arial" w:hAnsi="Arial" w:eastAsia="Arial" w:cs="Arial"/>
                <w:b/>
                <w:bCs/>
                <w:color w:val="201547"/>
                <w:sz w:val="20"/>
              </w:rPr>
              <w:t>Data collection name</w:t>
            </w:r>
          </w:p>
        </w:tc>
        <w:tc>
          <w:tcPr>
            <w:tcW w:w="2580" w:type="dxa"/>
            <w:tcBorders>
              <w:top w:val="single" w:sz="4" w:space="0" w:color="000000"/>
              <w:bottom w:val="single" w:sz="4" w:space="0" w:color="000000"/>
              <w:left w:val="single" w:sz="4" w:space="0" w:color="000000"/>
              <w:right w:val="single" w:sz="4" w:space="0" w:color="000000"/>
            </w:tcBorders>
            <w:shd w:val="clear" w:color="auto" w:fill="FFFFFF"/>
          </w:tcPr>
          <w:p>
            <w:pPr>
              <w:spacing w:before="100" w:line="288" w:lineRule="auto"/>
              <w:ind w:left="108" w:right="108"/>
              <w:rPr>
                <w:rFonts w:ascii="Arial" w:hAnsi="Arial" w:eastAsia="Arial" w:cs="Arial"/>
                <w:b/>
                <w:bCs/>
                <w:color w:val="000000"/>
                <w:sz w:val="20"/>
              </w:rPr>
            </w:pPr>
            <w:r>
              <w:rPr>
                <w:rFonts w:ascii="Arial" w:hAnsi="Arial" w:eastAsia="Arial" w:cs="Arial"/>
                <w:b/>
                <w:bCs/>
                <w:color w:val="201547"/>
                <w:sz w:val="20"/>
              </w:rPr>
              <w:t>Data system</w:t>
            </w:r>
            <w:r>
              <w:rPr>
                <w:rFonts w:ascii="Arial" w:hAnsi="Arial" w:eastAsia="Arial" w:cs="Arial"/>
                <w:b/>
                <w:bCs/>
                <w:color w:val="000000"/>
                <w:sz w:val="20"/>
              </w:rPr>
              <w:t xml:space="preserve"> </w:t>
            </w:r>
          </w:p>
        </w:tc>
        <w:tc>
          <w:tcPr>
            <w:tcW w:w="2580" w:type="dxa"/>
            <w:tcBorders>
              <w:top w:val="single" w:sz="4" w:space="0" w:color="000000"/>
              <w:bottom w:val="single" w:sz="4" w:space="0" w:color="000000"/>
              <w:left w:val="single" w:sz="4" w:space="0" w:color="000000"/>
              <w:right w:val="single" w:sz="4" w:space="0" w:color="000000"/>
            </w:tcBorders>
            <w:shd w:val="clear" w:color="auto" w:fill="FFFFFF"/>
          </w:tcPr>
          <w:p>
            <w:pPr>
              <w:spacing w:before="100" w:line="288" w:lineRule="auto"/>
              <w:ind w:left="108" w:right="108"/>
              <w:rPr>
                <w:rFonts w:ascii="Arial" w:hAnsi="Arial" w:eastAsia="Arial" w:cs="Arial"/>
                <w:b/>
                <w:bCs/>
                <w:color w:val="000000"/>
                <w:sz w:val="20"/>
              </w:rPr>
            </w:pPr>
            <w:r>
              <w:rPr>
                <w:rFonts w:ascii="Arial" w:hAnsi="Arial" w:eastAsia="Arial" w:cs="Arial"/>
                <w:b/>
                <w:bCs/>
                <w:color w:val="201547"/>
                <w:sz w:val="20"/>
              </w:rPr>
              <w:t>Data set</w:t>
            </w:r>
            <w:r>
              <w:rPr>
                <w:rFonts w:ascii="Arial" w:hAnsi="Arial" w:eastAsia="Arial" w:cs="Arial"/>
                <w:b/>
                <w:bCs/>
                <w:color w:val="000000"/>
                <w:sz w:val="20"/>
              </w:rPr>
              <w:t xml:space="preserve"> </w:t>
            </w:r>
          </w:p>
        </w:tc>
        <w:tc>
          <w:tcPr>
            <w:tcW w:w="2508" w:type="dxa"/>
            <w:tcBorders>
              <w:top w:val="single" w:sz="4" w:space="0" w:color="000000"/>
              <w:bottom w:val="single" w:sz="4" w:space="0" w:color="000000"/>
              <w:left w:val="single" w:sz="4" w:space="0" w:color="000000"/>
              <w:right w:val="single" w:sz="4" w:space="0" w:color="000000"/>
            </w:tcBorders>
            <w:shd w:val="clear" w:color="auto" w:fill="FFFFFF"/>
          </w:tcPr>
          <w:p>
            <w:pPr>
              <w:spacing w:before="100" w:line="288" w:lineRule="auto"/>
              <w:ind w:left="108" w:right="108"/>
              <w:rPr>
                <w:rFonts w:ascii="Arial" w:hAnsi="Arial" w:eastAsia="Arial" w:cs="Arial"/>
                <w:b/>
                <w:bCs/>
                <w:color w:val="201547"/>
                <w:sz w:val="20"/>
              </w:rPr>
            </w:pPr>
            <w:r>
              <w:rPr>
                <w:rFonts w:ascii="Arial" w:hAnsi="Arial" w:eastAsia="Arial" w:cs="Arial"/>
                <w:b/>
                <w:bCs/>
                <w:color w:val="201547"/>
                <w:sz w:val="20"/>
              </w:rPr>
              <w:t>Reporting cycle</w:t>
            </w:r>
          </w:p>
        </w:tc>
      </w:tr>
      <w:tr>
        <w:tc>
          <w:tcPr>
            <w:tcW w:w="2580" w:type="dxa"/>
            <w:tcBorders>
              <w:top w:val="single" w:sz="4" w:space="0" w:color="000000"/>
              <w:bottom w:val="single" w:sz="4" w:space="0" w:color="000000"/>
              <w:left w:val="single" w:sz="4" w:space="0" w:color="000000"/>
              <w:right w:val="single" w:sz="4" w:space="0" w:color="000000"/>
            </w:tcBorders>
            <w:shd w:val="clear" w:color="auto" w:fill="FFFFFF"/>
          </w:tcPr>
          <w:p>
            <w:pPr>
              <w:spacing w:before="100" w:line="288" w:lineRule="auto"/>
              <w:ind w:left="108" w:right="108"/>
              <w:rPr>
                <w:rFonts w:ascii="Arial" w:hAnsi="Arial" w:eastAsia="Arial" w:cs="Arial"/>
                <w:color w:val="000000"/>
                <w:sz w:val="20"/>
              </w:rPr>
            </w:pPr>
            <w:r>
              <w:rPr>
                <w:rFonts w:ascii="Arial" w:hAnsi="Arial" w:eastAsia="Arial" w:cs="Arial"/>
                <w:color w:val="000000"/>
                <w:sz w:val="20"/>
              </w:rPr>
              <w:t>Pathways Workplan</w:t>
            </w:r>
          </w:p>
        </w:tc>
        <w:tc>
          <w:tcPr>
            <w:tcW w:w="2580" w:type="dxa"/>
            <w:tcBorders>
              <w:top w:val="single" w:sz="4" w:space="0" w:color="000000"/>
              <w:bottom w:val="single" w:sz="4" w:space="0" w:color="000000"/>
              <w:left w:val="single" w:sz="4" w:space="0" w:color="000000"/>
              <w:right w:val="single" w:sz="4" w:space="0" w:color="000000"/>
            </w:tcBorders>
            <w:shd w:val="clear" w:color="auto" w:fill="FFFFFF"/>
          </w:tcPr>
          <w:p>
            <w:pPr>
              <w:spacing w:before="100" w:line="288" w:lineRule="auto"/>
              <w:ind w:left="108" w:right="108"/>
              <w:rPr>
                <w:rFonts w:ascii="Arial" w:hAnsi="Arial" w:eastAsia="Arial" w:cs="Arial"/>
                <w:color w:val="000000"/>
                <w:sz w:val="20"/>
              </w:rPr>
            </w:pPr>
            <w:r>
              <w:rPr>
                <w:rFonts w:ascii="Arial" w:hAnsi="Arial" w:eastAsia="Arial" w:cs="Arial"/>
                <w:color w:val="000000"/>
                <w:sz w:val="20"/>
              </w:rPr>
              <w:t xml:space="preserve">Manual Data Collection </w:t>
            </w:r>
          </w:p>
        </w:tc>
        <w:tc>
          <w:tcPr>
            <w:tcW w:w="2580" w:type="dxa"/>
            <w:tcBorders>
              <w:top w:val="single" w:sz="4" w:space="0" w:color="000000"/>
              <w:bottom w:val="single" w:sz="4" w:space="0" w:color="000000"/>
              <w:left w:val="single" w:sz="4" w:space="0" w:color="000000"/>
              <w:right w:val="single" w:sz="4" w:space="0" w:color="000000"/>
            </w:tcBorders>
            <w:shd w:val="clear" w:color="auto" w:fill="FFFFFF"/>
          </w:tcPr>
          <w:p>
            <w:pPr>
              <w:spacing w:before="100" w:line="288" w:lineRule="auto"/>
              <w:ind w:left="108" w:right="108"/>
              <w:rPr>
                <w:rFonts w:ascii="Arial" w:hAnsi="Arial" w:eastAsia="Arial" w:cs="Arial"/>
                <w:color w:val="000000"/>
                <w:sz w:val="20"/>
              </w:rPr>
            </w:pPr>
            <w:r>
              <w:rPr>
                <w:rFonts w:ascii="Arial" w:hAnsi="Arial" w:eastAsia="Arial" w:cs="Arial"/>
                <w:color w:val="000000"/>
                <w:sz w:val="20"/>
              </w:rPr>
              <w:t xml:space="preserve">Annual Workplan - Each August </w:t>
            </w:r>
          </w:p>
        </w:tc>
        <w:tc>
          <w:tcPr>
            <w:tcW w:w="2508" w:type="dxa"/>
            <w:tcBorders>
              <w:top w:val="single" w:sz="4" w:space="0" w:color="000000"/>
              <w:bottom w:val="single" w:sz="4" w:space="0" w:color="000000"/>
              <w:left w:val="single" w:sz="4" w:space="0" w:color="000000"/>
              <w:right w:val="single" w:sz="4" w:space="0" w:color="000000"/>
            </w:tcBorders>
            <w:shd w:val="clear" w:color="auto" w:fill="FFFFFF"/>
          </w:tcPr>
          <w:p>
            <w:pPr>
              <w:spacing w:before="100" w:line="288" w:lineRule="auto"/>
              <w:ind w:left="108" w:right="108"/>
              <w:rPr>
                <w:rFonts w:ascii="Arial" w:hAnsi="Arial" w:eastAsia="Arial" w:cs="Arial"/>
                <w:color w:val="000000"/>
                <w:sz w:val="20"/>
              </w:rPr>
            </w:pPr>
            <w:r>
              <w:rPr>
                <w:rFonts w:ascii="Arial" w:hAnsi="Arial" w:eastAsia="Arial" w:cs="Arial"/>
                <w:color w:val="000000"/>
                <w:sz w:val="20"/>
              </w:rPr>
              <w:t>Annual</w:t>
            </w:r>
          </w:p>
        </w:tc>
      </w:tr>
      <w:tr>
        <w:tc>
          <w:tcPr>
            <w:tcW w:w="2580" w:type="dxa"/>
            <w:tcBorders>
              <w:top w:val="single" w:sz="4" w:space="0" w:color="000000"/>
              <w:bottom w:val="single" w:sz="4" w:space="0" w:color="000000"/>
              <w:left w:val="single" w:sz="4" w:space="0" w:color="000000"/>
              <w:right w:val="single" w:sz="4" w:space="0" w:color="000000"/>
            </w:tcBorders>
            <w:shd w:val="clear" w:color="auto" w:fill="FFFFFF"/>
          </w:tcPr>
          <w:p>
            <w:pPr>
              <w:spacing w:before="100" w:line="288" w:lineRule="auto"/>
              <w:ind w:left="108" w:right="108"/>
              <w:rPr>
                <w:rFonts w:ascii="Arial" w:hAnsi="Arial" w:eastAsia="Arial" w:cs="Arial"/>
                <w:color w:val="000000"/>
                <w:sz w:val="20"/>
              </w:rPr>
            </w:pPr>
            <w:r>
              <w:rPr>
                <w:rFonts w:ascii="Arial" w:hAnsi="Arial" w:eastAsia="Arial" w:cs="Arial"/>
                <w:color w:val="000000"/>
                <w:sz w:val="20"/>
              </w:rPr>
              <w:t>Pathways Quarterly Report</w:t>
            </w:r>
          </w:p>
        </w:tc>
        <w:tc>
          <w:tcPr>
            <w:tcW w:w="2580" w:type="dxa"/>
            <w:tcBorders>
              <w:top w:val="single" w:sz="4" w:space="0" w:color="000000"/>
              <w:bottom w:val="single" w:sz="4" w:space="0" w:color="000000"/>
              <w:left w:val="single" w:sz="4" w:space="0" w:color="000000"/>
              <w:right w:val="single" w:sz="4" w:space="0" w:color="000000"/>
            </w:tcBorders>
            <w:shd w:val="clear" w:color="auto" w:fill="FFFFFF"/>
          </w:tcPr>
          <w:p>
            <w:pPr>
              <w:spacing w:before="100" w:line="288" w:lineRule="auto"/>
              <w:ind w:left="108" w:right="108"/>
              <w:rPr>
                <w:rFonts w:ascii="Arial" w:hAnsi="Arial" w:eastAsia="Arial" w:cs="Arial"/>
                <w:color w:val="000000"/>
                <w:sz w:val="20"/>
              </w:rPr>
            </w:pPr>
            <w:r>
              <w:rPr>
                <w:rFonts w:ascii="Arial" w:hAnsi="Arial" w:eastAsia="Arial" w:cs="Arial"/>
                <w:color w:val="000000"/>
                <w:sz w:val="20"/>
              </w:rPr>
              <w:t xml:space="preserve">Manual Data Collection </w:t>
            </w:r>
          </w:p>
        </w:tc>
        <w:tc>
          <w:tcPr>
            <w:tcW w:w="2580" w:type="dxa"/>
            <w:tcBorders>
              <w:top w:val="single" w:sz="4" w:space="0" w:color="000000"/>
              <w:bottom w:val="single" w:sz="4" w:space="0" w:color="000000"/>
              <w:left w:val="single" w:sz="4" w:space="0" w:color="000000"/>
              <w:right w:val="single" w:sz="4" w:space="0" w:color="000000"/>
            </w:tcBorders>
            <w:shd w:val="clear" w:color="auto" w:fill="FFFFFF"/>
          </w:tcPr>
          <w:p>
            <w:pPr>
              <w:spacing w:before="100" w:line="288" w:lineRule="auto"/>
              <w:ind w:left="108" w:right="108"/>
              <w:rPr>
                <w:rFonts w:ascii="Arial" w:hAnsi="Arial" w:eastAsia="Arial" w:cs="Arial"/>
                <w:color w:val="000000"/>
                <w:sz w:val="20"/>
              </w:rPr>
            </w:pPr>
            <w:r>
              <w:rPr>
                <w:rFonts w:ascii="Arial" w:hAnsi="Arial" w:eastAsia="Arial" w:cs="Arial"/>
                <w:color w:val="000000"/>
                <w:sz w:val="20"/>
              </w:rPr>
              <w:t xml:space="preserve">September, December and March each year </w:t>
            </w:r>
          </w:p>
        </w:tc>
        <w:tc>
          <w:tcPr>
            <w:tcW w:w="2508" w:type="dxa"/>
            <w:tcBorders>
              <w:top w:val="single" w:sz="4" w:space="0" w:color="000000"/>
              <w:bottom w:val="single" w:sz="4" w:space="0" w:color="000000"/>
              <w:left w:val="single" w:sz="4" w:space="0" w:color="000000"/>
              <w:right w:val="single" w:sz="4" w:space="0" w:color="000000"/>
            </w:tcBorders>
            <w:shd w:val="clear" w:color="auto" w:fill="FFFFFF"/>
          </w:tcPr>
          <w:p>
            <w:pPr>
              <w:spacing w:before="100" w:line="288" w:lineRule="auto"/>
              <w:ind w:left="108" w:right="108"/>
              <w:rPr>
                <w:rFonts w:ascii="Arial" w:hAnsi="Arial" w:eastAsia="Arial" w:cs="Arial"/>
                <w:color w:val="000000"/>
                <w:sz w:val="20"/>
              </w:rPr>
            </w:pPr>
            <w:r>
              <w:rPr>
                <w:rFonts w:ascii="Arial" w:hAnsi="Arial" w:eastAsia="Arial" w:cs="Arial"/>
                <w:color w:val="000000"/>
                <w:sz w:val="20"/>
              </w:rPr>
              <w:t>Quarterly</w:t>
            </w:r>
          </w:p>
        </w:tc>
      </w:tr>
      <w:tr>
        <w:tc>
          <w:tcPr>
            <w:tcW w:w="2580" w:type="dxa"/>
            <w:tcBorders>
              <w:top w:val="single" w:sz="4" w:space="0" w:color="000000"/>
              <w:bottom w:val="single" w:sz="4" w:space="0" w:color="000000"/>
              <w:left w:val="single" w:sz="4" w:space="0" w:color="000000"/>
              <w:right w:val="single" w:sz="4" w:space="0" w:color="000000"/>
            </w:tcBorders>
            <w:shd w:val="clear" w:color="auto" w:fill="FFFFFF"/>
          </w:tcPr>
          <w:p>
            <w:pPr>
              <w:spacing w:before="100" w:line="288" w:lineRule="auto"/>
              <w:ind w:left="108" w:right="108"/>
              <w:rPr>
                <w:rFonts w:ascii="Arial" w:hAnsi="Arial" w:eastAsia="Arial" w:cs="Arial"/>
                <w:color w:val="000000"/>
                <w:sz w:val="20"/>
              </w:rPr>
            </w:pPr>
            <w:r>
              <w:rPr>
                <w:rFonts w:ascii="Arial" w:hAnsi="Arial" w:eastAsia="Arial" w:cs="Arial"/>
                <w:color w:val="000000"/>
                <w:sz w:val="20"/>
              </w:rPr>
              <w:t>Pathways Annual Report</w:t>
            </w:r>
          </w:p>
        </w:tc>
        <w:tc>
          <w:tcPr>
            <w:tcW w:w="2580" w:type="dxa"/>
            <w:tcBorders>
              <w:top w:val="single" w:sz="4" w:space="0" w:color="000000"/>
              <w:bottom w:val="single" w:sz="4" w:space="0" w:color="000000"/>
              <w:left w:val="single" w:sz="4" w:space="0" w:color="000000"/>
              <w:right w:val="single" w:sz="4" w:space="0" w:color="000000"/>
            </w:tcBorders>
            <w:shd w:val="clear" w:color="auto" w:fill="FFFFFF"/>
          </w:tcPr>
          <w:p>
            <w:pPr>
              <w:spacing w:before="100" w:line="288" w:lineRule="auto"/>
              <w:ind w:left="108" w:right="108"/>
              <w:rPr>
                <w:rFonts w:ascii="Arial" w:hAnsi="Arial" w:eastAsia="Arial" w:cs="Arial"/>
                <w:color w:val="000000"/>
                <w:sz w:val="20"/>
              </w:rPr>
            </w:pPr>
            <w:r>
              <w:rPr>
                <w:rFonts w:ascii="Arial" w:hAnsi="Arial" w:eastAsia="Arial" w:cs="Arial"/>
                <w:color w:val="000000"/>
                <w:sz w:val="20"/>
              </w:rPr>
              <w:t xml:space="preserve">Manual Data Collection </w:t>
            </w:r>
          </w:p>
        </w:tc>
        <w:tc>
          <w:tcPr>
            <w:tcW w:w="2580" w:type="dxa"/>
            <w:tcBorders>
              <w:top w:val="single" w:sz="4" w:space="0" w:color="000000"/>
              <w:bottom w:val="single" w:sz="4" w:space="0" w:color="000000"/>
              <w:left w:val="single" w:sz="4" w:space="0" w:color="000000"/>
              <w:right w:val="single" w:sz="4" w:space="0" w:color="000000"/>
            </w:tcBorders>
            <w:shd w:val="clear" w:color="auto" w:fill="FFFFFF"/>
          </w:tcPr>
          <w:p>
            <w:pPr>
              <w:spacing w:before="100" w:line="288" w:lineRule="auto"/>
              <w:ind w:left="108" w:right="108"/>
              <w:rPr>
                <w:rFonts w:ascii="Arial" w:hAnsi="Arial" w:eastAsia="Arial" w:cs="Arial"/>
                <w:color w:val="000000"/>
                <w:sz w:val="20"/>
              </w:rPr>
            </w:pPr>
            <w:r>
              <w:rPr>
                <w:rFonts w:ascii="Arial" w:hAnsi="Arial" w:eastAsia="Arial" w:cs="Arial"/>
                <w:color w:val="000000"/>
                <w:sz w:val="20"/>
              </w:rPr>
              <w:t xml:space="preserve">Annual Report - Every July </w:t>
            </w:r>
          </w:p>
        </w:tc>
        <w:tc>
          <w:tcPr>
            <w:tcW w:w="2508" w:type="dxa"/>
            <w:tcBorders>
              <w:top w:val="single" w:sz="4" w:space="0" w:color="000000"/>
              <w:bottom w:val="single" w:sz="4" w:space="0" w:color="000000"/>
              <w:left w:val="single" w:sz="4" w:space="0" w:color="000000"/>
              <w:right w:val="single" w:sz="4" w:space="0" w:color="000000"/>
            </w:tcBorders>
            <w:shd w:val="clear" w:color="auto" w:fill="FFFFFF"/>
          </w:tcPr>
          <w:p>
            <w:pPr>
              <w:spacing w:before="100" w:line="288" w:lineRule="auto"/>
              <w:ind w:left="108" w:right="108"/>
              <w:rPr>
                <w:rFonts w:ascii="Arial" w:hAnsi="Arial" w:eastAsia="Arial" w:cs="Arial"/>
                <w:color w:val="000000"/>
                <w:sz w:val="20"/>
              </w:rPr>
            </w:pPr>
            <w:r>
              <w:rPr>
                <w:rFonts w:ascii="Arial" w:hAnsi="Arial" w:eastAsia="Arial" w:cs="Arial"/>
                <w:color w:val="000000"/>
                <w:sz w:val="20"/>
              </w:rPr>
              <w:t>Annual</w:t>
            </w:r>
          </w:p>
        </w:tc>
      </w:tr>
    </w:tbl>
    <w:p>
      <w:pPr>
        <w:spacing w:before="100" w:line="288" w:lineRule="auto"/>
        <w:ind w:left="111" w:right="105"/>
        <w:rPr>
          <w:rFonts w:ascii="Arial" w:hAnsi="Arial" w:eastAsia="Arial" w:cs="Arial"/>
          <w:color w:val="000000"/>
          <w:sz w:val="18"/>
        </w:rPr>
      </w:pPr>
      <w:r>
        <w:rPr>
          <w:rFonts w:ascii="Arial" w:hAnsi="Arial" w:eastAsia="Arial" w:cs="Arial"/>
          <w:color w:val="000000"/>
          <w:sz w:val="18"/>
        </w:rPr>
        <w:t/>
      </w:r>
    </w:p>
    <w:tbl>
      <w:tblPr>
        <w:tblW w:w="0" w:type="auto"/>
        <w:tblInd w:w="111" w:type="dxa"/>
        <w:tblLayout w:type="fixed"/>
        <w:tblCellMar>
          <w:left w:w="0" w:type="dxa"/>
          <w:right w:w="0" w:type="dxa"/>
        </w:tblCellMar>
      </w:tblPr>
      <w:tblGrid>
        <w:gridCol w:w="10204"/>
      </w:tblGrid>
      <w:tr>
        <w:trPr>
          <w:cantSplit/>
        </w:trPr>
        <w:tc>
          <w:tcPr>
            <w:tcW w:w="10204" w:type="dxa"/>
            <w:tcBorders>
              <w:top w:val="single" w:sz="4" w:space="0" w:color="000000"/>
              <w:bottom w:val="single" w:sz="4" w:space="0" w:color="000000"/>
              <w:left w:val="single" w:sz="4" w:space="0" w:color="000000"/>
              <w:right w:val="single" w:sz="4" w:space="0" w:color="000000"/>
            </w:tcBorders>
            <w:vAlign w:val="bottom"/>
            <w:shd w:val="clear" w:color="auto" w:fill="FFFFFF"/>
          </w:tcPr>
          <w:p>
            <w:pPr>
              <w:keepLines/>
              <w:spacing w:before="100" w:line="288" w:lineRule="auto"/>
              <w:ind w:left="108" w:right="108"/>
              <w:rPr>
                <w:rFonts w:ascii="Arial" w:hAnsi="Arial" w:eastAsia="Arial" w:cs="Arial"/>
                <w:color w:val="3366FF"/>
                <w:sz w:val="24"/>
              </w:rPr>
            </w:pPr>
            <w:r>
              <w:rPr>
                <w:rFonts w:ascii="Arial" w:hAnsi="Arial" w:eastAsia="Arial" w:cs="Arial"/>
                <w:color w:val="000000"/>
                <w:sz w:val="24"/>
              </w:rPr>
              <w:t xml:space="preserve">To receive this publication in an accessible format, email </w:t>
            </w:r>
            <w:r>
              <w:rPr>
                <w:rFonts w:ascii="Arial" w:hAnsi="Arial" w:eastAsia="Arial" w:cs="Arial"/>
                <w:color w:val="3366FF"/>
                <w:sz w:val="24"/>
              </w:rPr>
              <w:t>Monitoring Framework Helpdesk &lt;monitoringframework.helpdesk@dffh.vic.gov.au&gt;</w:t>
            </w:r>
          </w:p>
          <w:p>
            <w:pPr>
              <w:keepLines/>
              <w:spacing w:before="100" w:line="288" w:lineRule="auto"/>
              <w:ind w:left="108" w:right="108"/>
              <w:rPr>
                <w:rFonts w:ascii="Arial" w:hAnsi="Arial" w:eastAsia="Arial" w:cs="Arial"/>
                <w:color w:val="000000"/>
                <w:sz w:val="16"/>
              </w:rPr>
            </w:pPr>
            <w:r>
              <w:rPr>
                <w:rFonts w:ascii="Arial" w:hAnsi="Arial" w:eastAsia="Arial" w:cs="Arial"/>
                <w:color w:val="000000"/>
                <w:sz w:val="16"/>
              </w:rPr>
              <w:t>Authorised and published by the Victorian Government, 1 Treasury Place, Melbourne.</w:t>
            </w:r>
          </w:p>
          <w:p>
            <w:pPr>
              <w:keepLines/>
              <w:spacing w:before="100" w:line="288" w:lineRule="auto"/>
              <w:ind w:left="108" w:right="108"/>
              <w:rPr>
                <w:rFonts w:ascii="Arial" w:hAnsi="Arial" w:eastAsia="Arial" w:cs="Arial"/>
                <w:color w:val="000000"/>
                <w:sz w:val="16"/>
              </w:rPr>
            </w:pPr>
            <w:r>
              <w:rPr>
                <w:rFonts w:ascii="Arial" w:hAnsi="Arial" w:eastAsia="Arial" w:cs="Arial"/>
                <w:color w:val="000000"/>
                <w:sz w:val="16"/>
              </w:rPr>
              <w:t xml:space="preserve">© State of Victoria, Australia, Department of Families, Fairness and Housing, </w:t>
            </w:r>
            <w:r>
              <w:rPr>
                <w:rFonts w:ascii="Arial" w:hAnsi="Arial" w:eastAsia="Arial" w:cs="Arial"/>
                <w:color w:val="000000"/>
                <w:sz w:val="16"/>
              </w:rPr>
              <w:t>July 2026</w:t>
            </w:r>
            <w:r>
              <w:rPr>
                <w:rFonts w:ascii="Arial" w:hAnsi="Arial" w:eastAsia="Arial" w:cs="Arial"/>
                <w:color w:val="000000"/>
                <w:sz w:val="16"/>
              </w:rPr>
              <w:t xml:space="preserve">. </w:t>
            </w:r>
          </w:p>
          <w:p>
            <w:pPr>
              <w:keepLines/>
              <w:spacing w:before="100" w:line="288" w:lineRule="auto"/>
              <w:ind w:left="108" w:right="108"/>
              <w:rPr>
                <w:rFonts w:ascii="Arial" w:hAnsi="Arial" w:eastAsia="Arial" w:cs="Arial"/>
                <w:color w:val="000000"/>
                <w:sz w:val="16"/>
              </w:rPr>
            </w:pPr>
            <w:r>
              <w:rPr>
                <w:rFonts w:ascii="Arial" w:hAnsi="Arial" w:eastAsia="Arial" w:cs="Arial"/>
                <w:color w:val="000000"/>
                <w:sz w:val="16"/>
              </w:rPr>
              <w:t>In this document, ‘Aboriginal’ refers to both Aboriginal and Torres Strait Islander people. ‘Indigenous’ or ‘Koori/Koorie' is retained when part of the title of a report, program or quotation.</w:t>
            </w:r>
          </w:p>
          <w:p>
            <w:pPr>
              <w:keepLines/>
              <w:spacing w:before="100" w:line="288" w:lineRule="auto"/>
              <w:ind w:left="108" w:right="108"/>
              <w:rPr>
                <w:rFonts w:ascii="Arial" w:hAnsi="Arial" w:eastAsia="Arial" w:cs="Arial"/>
                <w:color w:val="000000"/>
                <w:sz w:val="16"/>
              </w:rPr>
            </w:pPr>
            <w:r>
              <w:rPr>
                <w:rFonts w:ascii="Arial" w:hAnsi="Arial" w:eastAsia="Arial" w:cs="Arial"/>
                <w:color w:val="000000"/>
                <w:sz w:val="16"/>
              </w:rPr>
              <w:t>ISSN 2653-0929 – Online (PDF/Word)</w:t>
            </w:r>
          </w:p>
          <w:p>
            <w:pPr>
              <w:keepLines/>
              <w:spacing w:before="100" w:line="288" w:lineRule="auto"/>
              <w:ind w:left="108" w:right="108"/>
              <w:rPr>
                <w:rFonts w:ascii="Arial" w:hAnsi="Arial" w:eastAsia="Arial" w:cs="Arial"/>
                <w:color w:val="000000"/>
                <w:sz w:val="20"/>
              </w:rPr>
            </w:pPr>
            <w:r>
              <w:rPr>
                <w:rFonts w:ascii="Arial" w:hAnsi="Arial" w:eastAsia="Arial" w:cs="Arial"/>
                <w:color w:val="000000"/>
                <w:sz w:val="20"/>
              </w:rPr>
              <w:t xml:space="preserve">Available at </w:t>
            </w:r>
            <w:r>
              <w:rPr>
                <w:rFonts w:ascii="Arial" w:hAnsi="Arial" w:eastAsia="Arial" w:cs="Arial"/>
                <w:color w:val="3366FF"/>
                <w:sz w:val="20"/>
              </w:rPr>
              <w:t xml:space="preserve">Department of Families, Fairness and Housing and Department of Health </w:t>
            </w:r>
            <w:r>
              <w:rPr>
                <w:rFonts w:ascii="Arial" w:hAnsi="Arial" w:eastAsia="Arial" w:cs="Arial"/>
                <w:color w:val="000000"/>
                <w:sz w:val="20"/>
              </w:rPr>
              <w:t>activity search</w:t>
            </w:r>
          </w:p>
          <w:p>
            <w:pPr>
              <w:keepLines/>
              <w:spacing w:before="100" w:line="288" w:lineRule="auto"/>
              <w:ind w:left="108" w:right="108"/>
              <w:rPr>
                <w:rFonts w:ascii="Arial" w:hAnsi="Arial" w:eastAsia="Arial" w:cs="Arial"/>
                <w:color w:val="000000"/>
                <w:sz w:val="20"/>
              </w:rPr>
            </w:pPr>
            <w:hyperlink r:id="rId13" w:tgtFrame="_blank" w:history="1">
              <w:r>
                <w:rPr>
                  <w:rFonts w:ascii="Arial" w:hAnsi="Arial" w:eastAsia="Arial" w:cs="Arial"/>
                  <w:color w:val="3366FF"/>
                  <w:sz w:val="20"/>
                </w:rPr>
                <w:t>&lt;http://providers.dffh.vic.gov.au/families-fairness-housing-health-activity-search</w:t>
              </w:r>
            </w:hyperlink>
            <w:r>
              <w:rPr>
                <w:rFonts w:ascii="Arial" w:hAnsi="Arial" w:eastAsia="Arial" w:cs="Arial"/>
                <w:color w:val="000000"/>
                <w:sz w:val="20"/>
              </w:rPr>
              <w:t>&gt;</w:t>
            </w:r>
          </w:p>
        </w:tc>
      </w:tr>
    </w:tbl>
    <w:p>
      <w:pPr>
        <w:spacing w:before="100" w:line="288" w:lineRule="auto"/>
        <w:ind w:left="111" w:right="105"/>
        <w:rPr>
          <w:rFonts w:ascii="Arial" w:hAnsi="Arial" w:eastAsia="Arial" w:cs="Arial"/>
          <w:color w:val="000000"/>
          <w:sz w:val="18"/>
        </w:rPr>
      </w:pPr>
      <w:bookmarkStart w:id="0" w:name="page_total_master0"/>
      <w:r>
        <w:rPr>
          <w:rFonts w:ascii="Arial" w:hAnsi="Arial" w:eastAsia="Arial" w:cs="Arial"/>
          <w:color w:val="000000"/>
          <w:sz w:val="18"/>
        </w:rPr>
        <w:t/>
      </w:r>
      <w:bookmarkEnd w:id="0"/>
      <w:bookmarkStart w:id="1" w:name="page_total"/>
      <w:r>
        <w:rPr>
          <w:rFonts w:ascii="Arial" w:hAnsi="Arial" w:eastAsia="Arial" w:cs="Arial"/>
          <w:color w:val="000000"/>
          <w:sz w:val="18"/>
        </w:rPr>
        <w:t/>
      </w:r>
      <w:bookmarkEnd w:id="1"/>
    </w:p>
    <w:sectPr>
      <w:headerReference w:type="default" r:id="rId6"/>
      <w:headerReference w:type="first" r:id="rId7"/>
      <w:footerReference w:type="default" r:id="rId8"/>
      <w:footerReference w:type="first" r:id="rId9"/>
      <w:pgSz w:w="11900" w:h="16820"/>
      <w:pgMar w:top="560" w:right="740" w:bottom="1120" w:left="740" w:header="567" w:footer="0" w:gutter="0"/>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tabs>
        <w:tab w:val="left" w:pos="4428"/>
        <w:tab w:val="left" w:pos="9123"/>
        <w:tab w:val="right" w:pos="10314"/>
      </w:tabs>
      <w:ind w:left="111" w:right="105"/>
      <w:rPr/>
    </w:pPr>
    <w:r>
      <w:rPr>
        <w:rFonts w:ascii="Arial" w:hAnsi="Arial" w:eastAsia="Arial" w:cs="Arial"/>
        <w:color w:val="000000"/>
        <w:sz w:val="18"/>
      </w:rPr>
      <w:tab/>
    </w:r>
  </w:p>
  <w:tbl>
    <w:tblPr>
      <w:tblW w:w="0" w:type="auto"/>
      <w:tblInd w:w="-177" w:type="dxa"/>
      <w:tblLayout w:type="fixed"/>
      <w:tblCellMar>
        <w:left w:w="0" w:type="dxa"/>
        <w:right w:w="0" w:type="dxa"/>
      </w:tblCellMar>
    </w:tblPr>
    <w:tblGrid>
      <w:gridCol w:w="3473"/>
      <w:gridCol w:w="3473"/>
      <w:gridCol w:w="3692"/>
    </w:tblGrid>
    <w:tr>
      <w:tc>
        <w:tcPr>
          <w:tcW w:w="3473" w:type="dxa"/>
          <w:shd w:val="clear" w:color="auto" w:fill="FFFFFF"/>
        </w:tcPr>
        <w:p>
          <w:pPr>
            <w:ind w:left="108" w:right="108"/>
            <w:rPr/>
          </w:pPr>
        </w:p>
      </w:tc>
      <w:tc>
        <w:tcPr>
          <w:tcW w:w="3473" w:type="dxa"/>
          <w:vAlign w:val="bottom"/>
          <w:shd w:val="clear" w:color="auto" w:fill="FFFFFF"/>
        </w:tcPr>
        <w:p>
          <w:pPr>
            <w:tabs>
              <w:tab w:val="right" w:pos="10314"/>
            </w:tabs>
            <w:spacing w:before="240"/>
            <w:ind w:left="108" w:right="108"/>
            <w:jc w:val="center"/>
            <w:rPr>
              <w:rFonts w:ascii="Arial" w:hAnsi="Arial" w:eastAsia="Arial" w:cs="Arial"/>
              <w:b/>
              <w:bCs/>
              <w:color w:val="000000"/>
              <w:sz w:val="20"/>
            </w:rPr>
          </w:pPr>
          <w:r>
            <w:rPr>
              <w:rFonts w:ascii="Arial" w:hAnsi="Arial" w:eastAsia="Arial" w:cs="Arial"/>
              <w:b/>
              <w:bCs/>
              <w:color w:val="000000"/>
              <w:sz w:val="20"/>
            </w:rPr>
            <w:t xml:space="preserve">OFFICIAL                           </w:t>
          </w:r>
        </w:p>
      </w:tc>
      <w:tc>
        <w:tcPr>
          <w:tcW w:w="3692" w:type="dxa"/>
          <w:shd w:val="clear" w:color="auto" w:fill="FFFFFF"/>
        </w:tcPr>
        <w:p>
          <w:pPr>
            <w:tabs>
              <w:tab w:val="right" w:pos="10314"/>
            </w:tabs>
            <w:spacing w:before="240"/>
            <w:ind w:left="108"/>
            <w:jc w:val="center"/>
            <w:rPr>
              <w:rFonts w:ascii="Arial" w:hAnsi="Arial" w:eastAsia="Arial" w:cs="Arial"/>
              <w:color w:val="000000"/>
              <w:sz w:val="18"/>
            </w:rPr>
          </w:pPr>
          <w:r>
            <w:rPr>
              <w:rFonts w:ascii="Arial" w:hAnsi="Arial" w:eastAsia="Arial" w:cs="Arial"/>
              <w:color w:val="000000"/>
              <w:sz w:val="18"/>
            </w:rPr>
            <w:t xml:space="preserve">             </w:t>
          </w:r>
        </w:p>
        <w:p>
          <w:pPr>
            <w:tabs>
              <w:tab w:val="right" w:pos="10314"/>
            </w:tabs>
            <w:spacing w:before="240"/>
            <w:ind w:left="108"/>
            <w:jc w:val="center"/>
            <w:rPr/>
          </w:pPr>
          <w:r>
            <w:rPr>
              <w:noProof/>
            </w:rPr>
            <w:drawing>
              <wp:inline distT="0" distB="0" distL="0" distR="0">
                <wp:extent cx="1657350" cy="514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1">
                          <a:extLst>
                            <a:ext uri="{28A0092B-C50C-407E-A947-70E740481C1C}">
                              <a14:useLocalDpi xmlns:a14="http://schemas.microsoft.com/office/drawing/2010/main" val="0"/>
                            </a:ext>
                          </a:extLst>
                        </a:blip>
                        <a:stretch>
                          <a:fillRect/>
                        </a:stretch>
                      </pic:blipFill>
                      <pic:spPr>
                        <a:xfrm>
                          <a:off x="0" y="0"/>
                          <a:ext cx="1657350" cy="514350"/>
                        </a:xfrm>
                        <a:prstGeom prst="rect">
                          <a:avLst/>
                        </a:prstGeom>
                      </pic:spPr>
                    </pic:pic>
                  </a:graphicData>
                </a:graphic>
              </wp:inline>
            </w:drawing>
          </w:r>
        </w:p>
      </w:tc>
    </w:tr>
  </w:tbl>
  <w:p>
    <w:pPr>
      <w:tabs>
        <w:tab w:val="right" w:pos="10314"/>
      </w:tabs>
      <w:ind w:left="111" w:right="105"/>
      <w:jc w:val="center"/>
      <w:rPr>
        <w:rFonts w:ascii="Arial" w:hAnsi="Arial" w:eastAsia="Arial" w:cs="Arial"/>
        <w:color w:val="000000"/>
        <w:sz w:val="20"/>
      </w:rPr>
    </w:pPr>
    <w:r>
      <w:rPr>
        <w:rFonts w:ascii="Arial" w:hAnsi="Arial" w:eastAsia="Arial" w:cs="Arial"/>
        <w:color w:val="000000"/>
        <w:sz w:val="20"/>
      </w:rPr>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77" w:type="dxa"/>
      <w:tblLayout w:type="fixed"/>
      <w:tblCellMar>
        <w:left w:w="0" w:type="dxa"/>
        <w:right w:w="0" w:type="dxa"/>
      </w:tblCellMar>
    </w:tblPr>
    <w:tblGrid>
      <w:gridCol w:w="3473"/>
      <w:gridCol w:w="3473"/>
      <w:gridCol w:w="3473"/>
    </w:tblGrid>
    <w:tr>
      <w:tc>
        <w:tcPr>
          <w:tcW w:w="3473" w:type="dxa"/>
          <w:shd w:val="clear" w:color="auto" w:fill="FFFFFF"/>
        </w:tcPr>
        <w:p>
          <w:pPr>
            <w:ind w:left="108" w:right="108"/>
            <w:rPr/>
          </w:pPr>
        </w:p>
      </w:tc>
      <w:tc>
        <w:tcPr>
          <w:tcW w:w="3473" w:type="dxa"/>
          <w:vAlign w:val="bottom"/>
          <w:shd w:val="clear" w:color="auto" w:fill="FFFFFF"/>
        </w:tcPr>
        <w:p>
          <w:pPr>
            <w:tabs>
              <w:tab w:val="right" w:pos="10314"/>
            </w:tabs>
            <w:spacing w:before="240"/>
            <w:ind w:left="108" w:right="108"/>
            <w:jc w:val="center"/>
            <w:rPr>
              <w:rFonts w:ascii="Arial" w:hAnsi="Arial" w:eastAsia="Arial" w:cs="Arial"/>
              <w:b/>
              <w:bCs/>
              <w:color w:val="000000"/>
              <w:sz w:val="20"/>
            </w:rPr>
          </w:pPr>
          <w:r>
            <w:rPr>
              <w:rFonts w:ascii="Arial" w:hAnsi="Arial" w:eastAsia="Arial" w:cs="Arial"/>
              <w:b/>
              <w:bCs/>
              <w:color w:val="000000"/>
              <w:sz w:val="20"/>
            </w:rPr>
            <w:t xml:space="preserve">OFFICIAL                                                                </w:t>
          </w:r>
        </w:p>
      </w:tc>
      <w:tc>
        <w:tcPr>
          <w:tcW w:w="3473" w:type="dxa"/>
          <w:shd w:val="clear" w:color="auto" w:fill="FFFFFF"/>
        </w:tcPr>
        <w:p>
          <w:pPr>
            <w:tabs>
              <w:tab w:val="right" w:pos="10314"/>
            </w:tabs>
            <w:spacing w:before="240"/>
            <w:ind w:left="108"/>
            <w:jc w:val="center"/>
            <w:rPr/>
          </w:pPr>
          <w:r>
            <w:rPr>
              <w:noProof/>
            </w:rPr>
            <w:drawing>
              <wp:inline distT="0" distB="0" distL="0" distR="0">
                <wp:extent cx="1657350" cy="514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1">
                          <a:extLst>
                            <a:ext uri="{28A0092B-C50C-407E-A947-70E740481C1C}">
                              <a14:useLocalDpi xmlns:a14="http://schemas.microsoft.com/office/drawing/2010/main" val="0"/>
                            </a:ext>
                          </a:extLst>
                        </a:blip>
                        <a:stretch>
                          <a:fillRect/>
                        </a:stretch>
                      </pic:blipFill>
                      <pic:spPr>
                        <a:xfrm>
                          <a:off x="0" y="0"/>
                          <a:ext cx="1657350" cy="514350"/>
                        </a:xfrm>
                        <a:prstGeom prst="rect">
                          <a:avLst/>
                        </a:prstGeom>
                      </pic:spPr>
                    </pic:pic>
                  </a:graphicData>
                </a:graphic>
              </wp:inline>
            </w:drawing>
          </w:r>
        </w:p>
      </w:tc>
    </w:tr>
  </w:tbl>
  <w:p>
    <w:pPr>
      <w:tabs>
        <w:tab w:val="right" w:pos="10314"/>
      </w:tabs>
      <w:spacing w:before="240"/>
      <w:ind w:left="111" w:right="105"/>
      <w:rPr>
        <w:rFonts w:ascii="Arial" w:hAnsi="Arial" w:eastAsia="Arial" w:cs="Arial"/>
        <w:color w:val="000000"/>
        <w:sz w:val="18"/>
      </w:rPr>
    </w:pPr>
    <w:r>
      <w:rPr>
        <w:rFonts w:ascii="Arial" w:hAnsi="Arial" w:eastAsia="Arial" w:cs="Arial"/>
        <w:color w:val="000000"/>
        <w:sz w:val="1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tabs>
        <w:tab w:val="left" w:pos="408"/>
        <w:tab w:val="right" w:pos="10312"/>
      </w:tabs>
      <w:ind w:left="111" w:right="105"/>
      <w:rPr>
        <w:rFonts w:ascii="Arial" w:hAnsi="Arial" w:eastAsia="Arial" w:cs="Arial"/>
        <w:color w:val="000000"/>
        <w:sz w:val="18"/>
      </w:rPr>
    </w:pPr>
    <w:r>
      <w:rPr>
        <w:rFonts w:ascii="Arial" w:hAnsi="Arial" w:eastAsia="Arial" w:cs="Arial"/>
        <w:color w:val="000000"/>
        <w:sz w:val="18"/>
      </w:rPr>
      <w:t>Empowering Individuals and Communities 37073 Pathways (support for Victorian Sex Workers)</w:t>
    </w:r>
    <w:r>
      <w:rPr>
        <w:rFonts w:ascii="Arial" w:hAnsi="Arial" w:eastAsia="Arial" w:cs="Arial"/>
        <w:color w:val="000000"/>
        <w:sz w:val="18"/>
      </w:rPr>
      <w:tab/>
    </w:r>
    <w:r>
      <w:rPr>
        <w:rFonts w:ascii="Arial" w:hAnsi="Arial" w:eastAsia="Arial" w:cs="Arial"/>
        <w:color w:val="000000"/>
        <w:sz w:val="18"/>
      </w:rPr>
      <w:fldChar w:fldCharType="begin"/>
    </w:r>
    <w:r>
      <w:rPr>
        <w:rFonts w:ascii="Arial" w:hAnsi="Arial" w:eastAsia="Arial" w:cs="Arial"/>
        <w:color w:val="000000"/>
        <w:sz w:val="18"/>
      </w:rPr>
      <w:instrText xml:space="preserve"> PAGE   \* MERGEFORMAT </w:instrText>
    </w:r>
    <w:r>
      <w:rPr>
        <w:rFonts w:ascii="Arial" w:hAnsi="Arial" w:eastAsia="Arial" w:cs="Arial"/>
        <w:color w:val="000000"/>
        <w:sz w:val="18"/>
      </w:rPr>
      <w:fldChar w:fldCharType="separate"/>
    </w:r>
    <w:r>
      <w:rPr>
        <w:rFonts w:ascii="Arial" w:hAnsi="Arial" w:eastAsia="Arial" w:cs="Arial"/>
        <w:color w:val="000000"/>
        <w:sz w:val="18"/>
      </w:rPr>
      <w:t>1</w:t>
    </w:r>
    <w:r>
      <w:rPr>
        <w:rFonts w:ascii="Arial" w:hAnsi="Arial" w:eastAsia="Arial" w:cs="Arial"/>
        <w:color w:val="000000"/>
        <w:sz w:val="18"/>
      </w:rPr>
      <w:fldChar w:fldCharType="end"/>
    </w:r>
  </w:p>
  <w:p>
    <w:pPr>
      <w:tabs>
        <w:tab w:val="right" w:pos="10314"/>
      </w:tabs>
      <w:ind w:left="111" w:right="105"/>
      <w:rPr>
        <w:rFonts w:ascii="Arial" w:hAnsi="Arial" w:eastAsia="Arial" w:cs="Arial"/>
        <w:color w:val="000000"/>
        <w:sz w:val="18"/>
      </w:rPr>
    </w:pPr>
    <w:r>
      <w:rPr>
        <w:rFonts w:ascii="Arial" w:hAnsi="Arial" w:eastAsia="Arial" w:cs="Arial"/>
        <w:color w:val="000000"/>
        <w:sz w:val="18"/>
      </w:rPr>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tabs>
        <w:tab w:val="right" w:pos="10314"/>
      </w:tabs>
      <w:ind w:left="111" w:right="105"/>
      <w:rPr>
        <w:rFonts w:ascii="Arial" w:hAnsi="Arial" w:eastAsia="Arial" w:cs="Arial"/>
        <w:color w:val="000000"/>
        <w:sz w:val="18"/>
      </w:rPr>
    </w:pPr>
    <w:r>
      <w:rPr>
        <w:rFonts w:ascii="Arial" w:hAnsi="Arial" w:eastAsia="Arial" w:cs="Arial"/>
        <w:color w:val="000000"/>
        <w:sz w:val="18"/>
      </w:rPr>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numFmt w:val="decimal"/>
      <w:lvlText w:val="%1."/>
      <w:lvlJc w:val="start"/>
      <w:pPr>
        <w:ind w:left="828" w:hanging="360"/>
      </w:pPr>
      <w:rPr>
        <w:rFonts w:ascii="Calibri" w:hAnsi="Calibri" w:eastAsia="Calibri" w:cs="Calibri" w:hint="default"/>
        <w:color w:val="000000"/>
        <w:sz w:val="24"/>
      </w:rPr>
    </w:lvl>
    <w:lvl w:ilvl="1">
      <w:start w:val="1"/>
      <w:numFmt w:val="lowerLetter"/>
      <w:lvlText w:val="%2."/>
      <w:lvlJc w:val="start"/>
      <w:pPr>
        <w:ind w:left="1548" w:hanging="360"/>
      </w:pPr>
      <w:rPr>
        <w:rFonts w:ascii="Calibri" w:hAnsi="Calibri" w:eastAsia="Calibri" w:cs="Calibri" w:hint="default"/>
        <w:color w:val="000000"/>
        <w:sz w:val="24"/>
      </w:rPr>
    </w:lvl>
    <w:lvl w:ilvl="2">
      <w:start w:val="1"/>
      <w:numFmt w:val="lowerRoman"/>
      <w:lvlText w:val="%3."/>
      <w:lvlJc w:val="end"/>
      <w:pPr>
        <w:ind w:left="2268" w:hanging="180"/>
      </w:pPr>
      <w:rPr>
        <w:rFonts w:ascii="Calibri" w:hAnsi="Calibri" w:eastAsia="Calibri" w:cs="Calibri" w:hint="default"/>
        <w:color w:val="000000"/>
        <w:sz w:val="24"/>
      </w:rPr>
    </w:lvl>
    <w:lvl w:ilvl="3">
      <w:start w:val="1"/>
      <w:numFmt w:val="decimal"/>
      <w:lvlText w:val="%4."/>
      <w:lvlJc w:val="start"/>
      <w:pPr>
        <w:ind w:left="2988" w:hanging="360"/>
      </w:pPr>
      <w:rPr>
        <w:rFonts w:ascii="Calibri" w:hAnsi="Calibri" w:eastAsia="Calibri" w:cs="Calibri" w:hint="default"/>
        <w:color w:val="000000"/>
        <w:sz w:val="24"/>
      </w:rPr>
    </w:lvl>
    <w:lvl w:ilvl="4">
      <w:start w:val="1"/>
      <w:numFmt w:val="lowerLetter"/>
      <w:lvlText w:val="%5."/>
      <w:lvlJc w:val="start"/>
      <w:pPr>
        <w:ind w:left="3708" w:hanging="360"/>
      </w:pPr>
      <w:rPr>
        <w:rFonts w:ascii="Calibri" w:hAnsi="Calibri" w:eastAsia="Calibri" w:cs="Calibri" w:hint="default"/>
        <w:color w:val="000000"/>
        <w:sz w:val="24"/>
      </w:rPr>
    </w:lvl>
    <w:lvl w:ilvl="5">
      <w:start w:val="1"/>
      <w:numFmt w:val="lowerRoman"/>
      <w:lvlText w:val="%6."/>
      <w:lvlJc w:val="end"/>
      <w:pPr>
        <w:ind w:left="4428" w:hanging="180"/>
      </w:pPr>
      <w:rPr>
        <w:rFonts w:ascii="Calibri" w:hAnsi="Calibri" w:eastAsia="Calibri" w:cs="Calibri" w:hint="default"/>
        <w:color w:val="000000"/>
        <w:sz w:val="24"/>
      </w:rPr>
    </w:lvl>
    <w:lvl w:ilvl="6">
      <w:start w:val="1"/>
      <w:numFmt w:val="decimal"/>
      <w:lvlText w:val="%7."/>
      <w:lvlJc w:val="start"/>
      <w:pPr>
        <w:ind w:left="5148" w:hanging="360"/>
      </w:pPr>
      <w:rPr>
        <w:rFonts w:ascii="Calibri" w:hAnsi="Calibri" w:eastAsia="Calibri" w:cs="Calibri" w:hint="default"/>
        <w:color w:val="000000"/>
        <w:sz w:val="24"/>
      </w:rPr>
    </w:lvl>
    <w:lvl w:ilvl="7">
      <w:start w:val="1"/>
      <w:numFmt w:val="lowerLetter"/>
      <w:lvlText w:val="%8."/>
      <w:lvlJc w:val="start"/>
      <w:pPr>
        <w:ind w:left="5868" w:hanging="360"/>
      </w:pPr>
      <w:rPr>
        <w:rFonts w:ascii="Calibri" w:hAnsi="Calibri" w:eastAsia="Calibri" w:cs="Calibri" w:hint="default"/>
        <w:color w:val="000000"/>
        <w:sz w:val="24"/>
      </w:rPr>
    </w:lvl>
    <w:lvl w:ilvl="8">
      <w:start w:val="1"/>
      <w:numFmt w:val="lowerRoman"/>
      <w:lvlText w:val="%9."/>
      <w:lvlJc w:val="end"/>
      <w:pPr>
        <w:ind w:left="6588" w:hanging="180"/>
      </w:pPr>
      <w:rPr>
        <w:rFonts w:ascii="Calibri" w:hAnsi="Calibri" w:eastAsia="Calibri" w:cs="Calibri" w:hint="default"/>
        <w:color w:val="000000"/>
        <w:sz w:val="24"/>
      </w:rPr>
    </w:lvl>
  </w:abstractNum>
  <w:abstractNum w:abstractNumId="1">
    <w:multiLevelType w:val="hybridMultilevel"/>
    <w:lvl w:ilvl="0">
      <w:start w:val="1"/>
      <w:numFmt w:val="bullet"/>
      <w:lvlText w:val=""/>
      <w:lvlJc w:val="start"/>
      <w:pPr>
        <w:ind w:left="468" w:hanging="360"/>
      </w:pPr>
      <w:rPr>
        <w:rFonts w:ascii="Symbol" w:hAnsi="Symbol" w:eastAsia="Symbol" w:cs="Symbol" w:hint="default"/>
        <w:color w:val="000000"/>
        <w:sz w:val="24"/>
      </w:rPr>
    </w:lvl>
    <w:lvl w:ilvl="1">
      <w:start w:val="1"/>
      <w:numFmt w:val="bullet"/>
      <w:lvlText w:val="o"/>
      <w:lvlJc w:val="start"/>
      <w:pPr>
        <w:ind w:left="1188" w:hanging="360"/>
      </w:pPr>
      <w:rPr>
        <w:rFonts w:ascii="Courier New" w:hAnsi="Courier New" w:eastAsia="Courier New" w:cs="Courier New" w:hint="default"/>
        <w:color w:val="000000"/>
        <w:sz w:val="24"/>
      </w:rPr>
    </w:lvl>
    <w:lvl w:ilvl="2">
      <w:start w:val="1"/>
      <w:numFmt w:val="bullet"/>
      <w:lvlText w:val=""/>
      <w:lvlJc w:val="start"/>
      <w:pPr>
        <w:ind w:left="1908" w:hanging="360"/>
      </w:pPr>
      <w:rPr>
        <w:rFonts w:ascii="Wingdings" w:hAnsi="Wingdings" w:eastAsia="Wingdings" w:cs="Wingdings" w:hint="default"/>
        <w:color w:val="000000"/>
        <w:sz w:val="24"/>
      </w:rPr>
    </w:lvl>
    <w:lvl w:ilvl="3">
      <w:start w:val="1"/>
      <w:numFmt w:val="bullet"/>
      <w:lvlText w:val=""/>
      <w:lvlJc w:val="start"/>
      <w:pPr>
        <w:ind w:left="2628" w:hanging="360"/>
      </w:pPr>
      <w:rPr>
        <w:rFonts w:ascii="Symbol" w:hAnsi="Symbol" w:eastAsia="Symbol" w:cs="Symbol" w:hint="default"/>
        <w:color w:val="000000"/>
        <w:sz w:val="24"/>
      </w:rPr>
    </w:lvl>
    <w:lvl w:ilvl="4">
      <w:start w:val="1"/>
      <w:numFmt w:val="bullet"/>
      <w:lvlText w:val="o"/>
      <w:lvlJc w:val="start"/>
      <w:pPr>
        <w:ind w:left="3348" w:hanging="360"/>
      </w:pPr>
      <w:rPr>
        <w:rFonts w:ascii="Courier New" w:hAnsi="Courier New" w:eastAsia="Courier New" w:cs="Courier New" w:hint="default"/>
        <w:color w:val="000000"/>
        <w:sz w:val="24"/>
      </w:rPr>
    </w:lvl>
    <w:lvl w:ilvl="5">
      <w:start w:val="1"/>
      <w:numFmt w:val="bullet"/>
      <w:lvlText w:val=""/>
      <w:lvlJc w:val="start"/>
      <w:pPr>
        <w:ind w:left="4068" w:hanging="360"/>
      </w:pPr>
      <w:rPr>
        <w:rFonts w:ascii="Wingdings" w:hAnsi="Wingdings" w:eastAsia="Wingdings" w:cs="Wingdings" w:hint="default"/>
        <w:color w:val="000000"/>
        <w:sz w:val="24"/>
      </w:rPr>
    </w:lvl>
    <w:lvl w:ilvl="6">
      <w:start w:val="1"/>
      <w:numFmt w:val="bullet"/>
      <w:lvlText w:val=""/>
      <w:lvlJc w:val="start"/>
      <w:pPr>
        <w:ind w:left="4788" w:hanging="360"/>
      </w:pPr>
      <w:rPr>
        <w:rFonts w:ascii="Symbol" w:hAnsi="Symbol" w:eastAsia="Symbol" w:cs="Symbol" w:hint="default"/>
        <w:color w:val="000000"/>
        <w:sz w:val="24"/>
      </w:rPr>
    </w:lvl>
    <w:lvl w:ilvl="7">
      <w:start w:val="1"/>
      <w:numFmt w:val="bullet"/>
      <w:lvlText w:val="o"/>
      <w:lvlJc w:val="start"/>
      <w:pPr>
        <w:ind w:left="5508" w:hanging="360"/>
      </w:pPr>
      <w:rPr>
        <w:rFonts w:ascii="Courier New" w:hAnsi="Courier New" w:eastAsia="Courier New" w:cs="Courier New" w:hint="default"/>
        <w:color w:val="000000"/>
        <w:sz w:val="24"/>
      </w:rPr>
    </w:lvl>
    <w:lvl w:ilvl="8">
      <w:start w:val="1"/>
      <w:numFmt w:val="bullet"/>
      <w:lvlText w:val=""/>
      <w:lvlJc w:val="start"/>
      <w:pPr>
        <w:ind w:left="6228" w:hanging="360"/>
      </w:pPr>
      <w:rPr>
        <w:rFonts w:ascii="Wingdings" w:hAnsi="Wingdings" w:eastAsia="Wingdings" w:cs="Wingdings" w:hint="default"/>
        <w:color w:val="000000"/>
        <w:sz w:val="24"/>
      </w:rPr>
    </w:lvl>
  </w:abstractNum>
  <w:abstractNum w:abstractNumId="2">
    <w:multiLevelType w:val="hybridMultilevel"/>
    <w:lvl w:ilvl="0">
      <w:start w:val="1"/>
      <w:numFmt w:val="decimal"/>
      <w:lvlText w:val="%1."/>
      <w:lvlJc w:val="start"/>
      <w:pPr>
        <w:ind w:left="505" w:hanging="397"/>
      </w:pPr>
      <w:rPr>
        <w:rFonts w:ascii="Calibri" w:hAnsi="Calibri" w:eastAsia="Calibri" w:cs="Calibri" w:hint="default"/>
        <w:color w:val="000000"/>
        <w:sz w:val="24"/>
      </w:rPr>
    </w:lvl>
    <w:lvl w:ilvl="1">
      <w:start w:val="1"/>
      <w:numFmt w:val="decimal"/>
      <w:lvlText w:val="%2."/>
      <w:lvlJc w:val="start"/>
      <w:pPr>
        <w:ind w:left="902" w:hanging="397"/>
      </w:pPr>
      <w:rPr>
        <w:rFonts w:ascii="Calibri" w:hAnsi="Calibri" w:eastAsia="Calibri" w:cs="Calibri" w:hint="default"/>
        <w:color w:val="000000"/>
        <w:sz w:val="24"/>
      </w:rPr>
    </w:lvl>
    <w:lvl w:ilvl="2">
      <w:start w:val="1"/>
      <w:numFmt w:val="lowerLetter"/>
      <w:lvlText w:val="(%3)"/>
      <w:lvlJc w:val="start"/>
      <w:pPr>
        <w:ind w:left="505" w:hanging="397"/>
      </w:pPr>
      <w:rPr>
        <w:rFonts w:ascii="Calibri" w:hAnsi="Calibri" w:eastAsia="Calibri" w:cs="Calibri" w:hint="default"/>
        <w:color w:val="000000"/>
        <w:sz w:val="24"/>
      </w:rPr>
    </w:lvl>
    <w:lvl w:ilvl="3">
      <w:start w:val="1"/>
      <w:numFmt w:val="lowerLetter"/>
      <w:lvlText w:val="(%4)"/>
      <w:lvlJc w:val="start"/>
      <w:pPr>
        <w:ind w:left="902" w:hanging="397"/>
      </w:pPr>
      <w:rPr>
        <w:rFonts w:ascii="Calibri" w:hAnsi="Calibri" w:eastAsia="Calibri" w:cs="Calibri" w:hint="default"/>
        <w:color w:val="000000"/>
        <w:sz w:val="24"/>
      </w:rPr>
    </w:lvl>
    <w:lvl w:ilvl="4">
      <w:start w:val="1"/>
      <w:numFmt w:val="lowerRoman"/>
      <w:lvlText w:val="(%5)"/>
      <w:lvlJc w:val="start"/>
      <w:pPr>
        <w:ind w:left="505" w:hanging="397"/>
      </w:pPr>
      <w:rPr>
        <w:rFonts w:ascii="Calibri" w:hAnsi="Calibri" w:eastAsia="Calibri" w:cs="Calibri" w:hint="default"/>
        <w:color w:val="000000"/>
        <w:sz w:val="24"/>
      </w:rPr>
    </w:lvl>
    <w:lvl w:ilvl="5">
      <w:start w:val="1"/>
      <w:numFmt w:val="lowerRoman"/>
      <w:lvlText w:val="(%6)"/>
      <w:lvlJc w:val="start"/>
      <w:pPr>
        <w:ind w:left="902" w:hanging="397"/>
      </w:pPr>
      <w:rPr>
        <w:rFonts w:ascii="Calibri" w:hAnsi="Calibri" w:eastAsia="Calibri" w:cs="Calibri" w:hint="default"/>
        <w:color w:val="000000"/>
        <w:sz w:val="24"/>
      </w:rPr>
    </w:lvl>
    <w:lvl w:ilvl="6">
      <w:start w:val="1"/>
      <w:numFmt w:val="none"/>
      <w:lvlText w:val=""/>
      <w:lvlJc w:val="start"/>
      <w:pPr>
        <w:ind w:left="108" w:hanging="0"/>
      </w:pPr>
      <w:rPr>
        <w:rFonts w:ascii="Calibri" w:hAnsi="Calibri" w:eastAsia="Calibri" w:cs="Calibri" w:hint="default"/>
        <w:color w:val="000000"/>
        <w:sz w:val="24"/>
      </w:rPr>
    </w:lvl>
    <w:lvl w:ilvl="7">
      <w:start w:val="1"/>
      <w:numFmt w:val="none"/>
      <w:lvlText w:val=""/>
      <w:lvlJc w:val="start"/>
      <w:pPr>
        <w:ind w:left="108" w:hanging="0"/>
      </w:pPr>
      <w:rPr>
        <w:rFonts w:ascii="Calibri" w:hAnsi="Calibri" w:eastAsia="Calibri" w:cs="Calibri" w:hint="default"/>
        <w:color w:val="000000"/>
        <w:sz w:val="24"/>
      </w:rPr>
    </w:lvl>
    <w:lvl w:ilvl="8">
      <w:start w:val="1"/>
      <w:numFmt w:val="none"/>
      <w:lvlText w:val=""/>
      <w:lvlJc w:val="end"/>
      <w:pPr>
        <w:ind w:left="108" w:hanging="0"/>
      </w:pPr>
      <w:rPr>
        <w:rFonts w:ascii="Calibri" w:hAnsi="Calibri" w:eastAsia="Calibri" w:cs="Calibri" w:hint="default"/>
        <w:color w:val="000000"/>
        <w:sz w:val="24"/>
      </w:rPr>
    </w:lvl>
  </w:abstractNum>
  <w:abstractNum w:abstractNumId="3">
    <w:multiLevelType w:val="hybridMultilevel"/>
    <w:lvl w:ilvl="0">
      <w:start w:val="1"/>
      <w:numFmt w:val="bullet"/>
      <w:lvlText w:val=""/>
      <w:lvlJc w:val="start"/>
      <w:pPr>
        <w:ind w:left="392" w:hanging="284"/>
      </w:pPr>
      <w:rPr>
        <w:rFonts w:ascii="Symbol" w:hAnsi="Symbol" w:eastAsia="Symbol" w:cs="Symbol" w:hint="default"/>
        <w:color w:val="000000"/>
        <w:sz w:val="24"/>
      </w:rPr>
    </w:lvl>
    <w:lvl w:ilvl="1">
      <w:start w:val="1"/>
      <w:numFmt w:val="bullet"/>
      <w:lvlText w:val=""/>
      <w:lvlJc w:val="start"/>
      <w:pPr>
        <w:ind w:left="392" w:hanging="284"/>
      </w:pPr>
      <w:rPr>
        <w:rFonts w:ascii="Symbol" w:hAnsi="Symbol" w:eastAsia="Symbol" w:cs="Symbol" w:hint="default"/>
        <w:color w:val="000000"/>
        <w:sz w:val="24"/>
      </w:rPr>
    </w:lvl>
    <w:lvl w:ilvl="2">
      <w:start w:val="1"/>
      <w:numFmt w:val="bullet"/>
      <w:lvlText w:val="–"/>
      <w:lvlJc w:val="start"/>
      <w:pPr>
        <w:ind w:left="675" w:hanging="283"/>
      </w:pPr>
      <w:rPr>
        <w:rFonts w:ascii="Calibri" w:hAnsi="Calibri" w:eastAsia="Calibri" w:cs="Calibri" w:hint="default"/>
        <w:color w:val="000000"/>
        <w:sz w:val="24"/>
      </w:rPr>
    </w:lvl>
    <w:lvl w:ilvl="3">
      <w:start w:val="1"/>
      <w:numFmt w:val="bullet"/>
      <w:lvlText w:val="–"/>
      <w:lvlJc w:val="start"/>
      <w:pPr>
        <w:ind w:left="675" w:hanging="283"/>
      </w:pPr>
      <w:rPr>
        <w:rFonts w:ascii="Calibri" w:hAnsi="Calibri" w:eastAsia="Calibri" w:cs="Calibri" w:hint="default"/>
        <w:color w:val="000000"/>
        <w:sz w:val="24"/>
      </w:rPr>
    </w:lvl>
    <w:lvl w:ilvl="4">
      <w:start w:val="1"/>
      <w:numFmt w:val="bullet"/>
      <w:lvlText w:val=""/>
      <w:lvlJc w:val="start"/>
      <w:pPr>
        <w:ind w:left="788" w:hanging="283"/>
      </w:pPr>
      <w:rPr>
        <w:rFonts w:ascii="Symbol" w:hAnsi="Symbol" w:eastAsia="Symbol" w:cs="Symbol" w:hint="default"/>
        <w:color w:val="000000"/>
        <w:sz w:val="24"/>
      </w:rPr>
    </w:lvl>
    <w:lvl w:ilvl="5">
      <w:start w:val="1"/>
      <w:numFmt w:val="bullet"/>
      <w:lvlText w:val=""/>
      <w:lvlJc w:val="start"/>
      <w:pPr>
        <w:ind w:left="788" w:hanging="283"/>
      </w:pPr>
      <w:rPr>
        <w:rFonts w:ascii="Symbol" w:hAnsi="Symbol" w:eastAsia="Symbol" w:cs="Symbol" w:hint="default"/>
        <w:color w:val="000000"/>
        <w:sz w:val="24"/>
      </w:rPr>
    </w:lvl>
    <w:lvl w:ilvl="6">
      <w:start w:val="1"/>
      <w:numFmt w:val="bullet"/>
      <w:lvlText w:val=""/>
      <w:lvlJc w:val="start"/>
      <w:pPr>
        <w:ind w:left="335" w:hanging="227"/>
      </w:pPr>
      <w:rPr>
        <w:rFonts w:ascii="Symbol" w:hAnsi="Symbol" w:eastAsia="Symbol" w:cs="Symbol" w:hint="default"/>
        <w:color w:val="000000"/>
        <w:sz w:val="24"/>
      </w:rPr>
    </w:lvl>
    <w:lvl w:ilvl="7">
      <w:start w:val="1"/>
      <w:numFmt w:val="none"/>
      <w:lvlText w:val=""/>
      <w:lvlJc w:val="start"/>
      <w:pPr>
        <w:ind w:left="108" w:hanging="0"/>
      </w:pPr>
      <w:rPr>
        <w:rFonts w:ascii="Calibri" w:hAnsi="Calibri" w:eastAsia="Calibri" w:cs="Calibri" w:hint="default"/>
        <w:color w:val="000000"/>
        <w:sz w:val="24"/>
      </w:rPr>
    </w:lvl>
    <w:lvl w:ilvl="8">
      <w:start w:val="1"/>
      <w:numFmt w:val="none"/>
      <w:lvlText w:val=""/>
      <w:lvlJc w:val="start"/>
      <w:pPr>
        <w:ind w:left="108" w:hanging="0"/>
      </w:pPr>
      <w:rPr>
        <w:rFonts w:ascii="Calibri" w:hAnsi="Calibri" w:eastAsia="Calibri" w:cs="Calibri" w:hint="default"/>
        <w:color w:val="000000"/>
        <w:sz w:val="24"/>
      </w:rPr>
    </w:lvl>
  </w:abstractNum>
  <w:abstractNum w:abstractNumId="4">
    <w:multiLevelType w:val="hybridMultilevel"/>
    <w:lvl w:ilvl="0">
      <w:start w:val="1"/>
      <w:numFmt w:val="bullet"/>
      <w:lvlText w:val=""/>
      <w:lvlJc w:val="start"/>
      <w:pPr>
        <w:ind w:left="468" w:hanging="360"/>
      </w:pPr>
      <w:rPr>
        <w:rFonts w:ascii="Symbol" w:hAnsi="Symbol" w:eastAsia="Symbol" w:cs="Symbol" w:hint="default"/>
        <w:color w:val="000000"/>
        <w:sz w:val="24"/>
      </w:rPr>
    </w:lvl>
    <w:lvl w:ilvl="1">
      <w:start w:val="1"/>
      <w:numFmt w:val="bullet"/>
      <w:lvlText w:val="o"/>
      <w:lvlJc w:val="start"/>
      <w:pPr>
        <w:ind w:left="1188" w:hanging="360"/>
      </w:pPr>
      <w:rPr>
        <w:rFonts w:ascii="Courier New" w:hAnsi="Courier New" w:eastAsia="Courier New" w:cs="Courier New" w:hint="default"/>
        <w:color w:val="000000"/>
        <w:sz w:val="24"/>
      </w:rPr>
    </w:lvl>
    <w:lvl w:ilvl="2">
      <w:start w:val="1"/>
      <w:numFmt w:val="bullet"/>
      <w:lvlText w:val=""/>
      <w:lvlJc w:val="start"/>
      <w:pPr>
        <w:ind w:left="1908" w:hanging="360"/>
      </w:pPr>
      <w:rPr>
        <w:rFonts w:ascii="Wingdings" w:hAnsi="Wingdings" w:eastAsia="Wingdings" w:cs="Wingdings" w:hint="default"/>
        <w:color w:val="000000"/>
        <w:sz w:val="24"/>
      </w:rPr>
    </w:lvl>
    <w:lvl w:ilvl="3">
      <w:start w:val="1"/>
      <w:numFmt w:val="bullet"/>
      <w:lvlText w:val=""/>
      <w:lvlJc w:val="start"/>
      <w:pPr>
        <w:ind w:left="2628" w:hanging="360"/>
      </w:pPr>
      <w:rPr>
        <w:rFonts w:ascii="Symbol" w:hAnsi="Symbol" w:eastAsia="Symbol" w:cs="Symbol" w:hint="default"/>
        <w:color w:val="000000"/>
        <w:sz w:val="24"/>
      </w:rPr>
    </w:lvl>
    <w:lvl w:ilvl="4">
      <w:start w:val="1"/>
      <w:numFmt w:val="bullet"/>
      <w:lvlText w:val="o"/>
      <w:lvlJc w:val="start"/>
      <w:pPr>
        <w:ind w:left="3348" w:hanging="360"/>
      </w:pPr>
      <w:rPr>
        <w:rFonts w:ascii="Courier New" w:hAnsi="Courier New" w:eastAsia="Courier New" w:cs="Courier New" w:hint="default"/>
        <w:color w:val="000000"/>
        <w:sz w:val="24"/>
      </w:rPr>
    </w:lvl>
    <w:lvl w:ilvl="5">
      <w:start w:val="1"/>
      <w:numFmt w:val="bullet"/>
      <w:lvlText w:val=""/>
      <w:lvlJc w:val="start"/>
      <w:pPr>
        <w:ind w:left="4068" w:hanging="360"/>
      </w:pPr>
      <w:rPr>
        <w:rFonts w:ascii="Wingdings" w:hAnsi="Wingdings" w:eastAsia="Wingdings" w:cs="Wingdings" w:hint="default"/>
        <w:color w:val="000000"/>
        <w:sz w:val="24"/>
      </w:rPr>
    </w:lvl>
    <w:lvl w:ilvl="6">
      <w:start w:val="1"/>
      <w:numFmt w:val="bullet"/>
      <w:lvlText w:val=""/>
      <w:lvlJc w:val="start"/>
      <w:pPr>
        <w:ind w:left="4788" w:hanging="360"/>
      </w:pPr>
      <w:rPr>
        <w:rFonts w:ascii="Symbol" w:hAnsi="Symbol" w:eastAsia="Symbol" w:cs="Symbol" w:hint="default"/>
        <w:color w:val="000000"/>
        <w:sz w:val="24"/>
      </w:rPr>
    </w:lvl>
    <w:lvl w:ilvl="7">
      <w:start w:val="1"/>
      <w:numFmt w:val="bullet"/>
      <w:lvlText w:val="o"/>
      <w:lvlJc w:val="start"/>
      <w:pPr>
        <w:ind w:left="5508" w:hanging="360"/>
      </w:pPr>
      <w:rPr>
        <w:rFonts w:ascii="Courier New" w:hAnsi="Courier New" w:eastAsia="Courier New" w:cs="Courier New" w:hint="default"/>
        <w:color w:val="000000"/>
        <w:sz w:val="24"/>
      </w:rPr>
    </w:lvl>
    <w:lvl w:ilvl="8">
      <w:start w:val="1"/>
      <w:numFmt w:val="bullet"/>
      <w:lvlText w:val=""/>
      <w:lvlJc w:val="start"/>
      <w:pPr>
        <w:ind w:left="6228" w:hanging="360"/>
      </w:pPr>
      <w:rPr>
        <w:rFonts w:ascii="Wingdings" w:hAnsi="Wingdings" w:eastAsia="Wingdings" w:cs="Wingdings" w:hint="default"/>
        <w:color w:val="000000"/>
        <w:sz w:val="24"/>
      </w:rPr>
    </w:lvl>
  </w:abstractNum>
  <w:abstractNum w:abstractNumId="5">
    <w:multiLevelType w:val="hybridMultilevel"/>
    <w:lvl w:ilvl="0">
      <w:start w:val="1"/>
      <w:numFmt w:val="bullet"/>
      <w:lvlText w:val=""/>
      <w:lvlJc w:val="start"/>
      <w:pPr>
        <w:ind w:left="828" w:hanging="360"/>
      </w:pPr>
      <w:rPr>
        <w:rFonts w:ascii="Symbol" w:hAnsi="Symbol" w:eastAsia="Symbol" w:cs="Symbol" w:hint="default"/>
        <w:color w:val="000000"/>
        <w:sz w:val="24"/>
      </w:rPr>
    </w:lvl>
    <w:lvl w:ilvl="1">
      <w:start w:val="1"/>
      <w:numFmt w:val="bullet"/>
      <w:lvlText w:val="o"/>
      <w:lvlJc w:val="start"/>
      <w:pPr>
        <w:ind w:left="1548" w:hanging="360"/>
      </w:pPr>
      <w:rPr>
        <w:rFonts w:ascii="Courier New" w:hAnsi="Courier New" w:eastAsia="Courier New" w:cs="Courier New" w:hint="default"/>
        <w:color w:val="000000"/>
        <w:sz w:val="24"/>
      </w:rPr>
    </w:lvl>
    <w:lvl w:ilvl="2">
      <w:start w:val="1"/>
      <w:numFmt w:val="bullet"/>
      <w:lvlText w:val=""/>
      <w:lvlJc w:val="start"/>
      <w:pPr>
        <w:ind w:left="2268" w:hanging="360"/>
      </w:pPr>
      <w:rPr>
        <w:rFonts w:ascii="Wingdings" w:hAnsi="Wingdings" w:eastAsia="Wingdings" w:cs="Wingdings" w:hint="default"/>
        <w:color w:val="000000"/>
        <w:sz w:val="24"/>
      </w:rPr>
    </w:lvl>
    <w:lvl w:ilvl="3">
      <w:start w:val="1"/>
      <w:numFmt w:val="bullet"/>
      <w:lvlText w:val=""/>
      <w:lvlJc w:val="start"/>
      <w:pPr>
        <w:ind w:left="2988" w:hanging="360"/>
      </w:pPr>
      <w:rPr>
        <w:rFonts w:ascii="Symbol" w:hAnsi="Symbol" w:eastAsia="Symbol" w:cs="Symbol" w:hint="default"/>
        <w:color w:val="000000"/>
        <w:sz w:val="24"/>
      </w:rPr>
    </w:lvl>
    <w:lvl w:ilvl="4">
      <w:start w:val="1"/>
      <w:numFmt w:val="bullet"/>
      <w:lvlText w:val="o"/>
      <w:lvlJc w:val="start"/>
      <w:pPr>
        <w:ind w:left="3708" w:hanging="360"/>
      </w:pPr>
      <w:rPr>
        <w:rFonts w:ascii="Courier New" w:hAnsi="Courier New" w:eastAsia="Courier New" w:cs="Courier New" w:hint="default"/>
        <w:color w:val="000000"/>
        <w:sz w:val="24"/>
      </w:rPr>
    </w:lvl>
    <w:lvl w:ilvl="5">
      <w:start w:val="1"/>
      <w:numFmt w:val="bullet"/>
      <w:lvlText w:val=""/>
      <w:lvlJc w:val="start"/>
      <w:pPr>
        <w:ind w:left="4428" w:hanging="360"/>
      </w:pPr>
      <w:rPr>
        <w:rFonts w:ascii="Wingdings" w:hAnsi="Wingdings" w:eastAsia="Wingdings" w:cs="Wingdings" w:hint="default"/>
        <w:color w:val="000000"/>
        <w:sz w:val="24"/>
      </w:rPr>
    </w:lvl>
    <w:lvl w:ilvl="6">
      <w:start w:val="1"/>
      <w:numFmt w:val="bullet"/>
      <w:lvlText w:val=""/>
      <w:lvlJc w:val="start"/>
      <w:pPr>
        <w:ind w:left="5148" w:hanging="360"/>
      </w:pPr>
      <w:rPr>
        <w:rFonts w:ascii="Symbol" w:hAnsi="Symbol" w:eastAsia="Symbol" w:cs="Symbol" w:hint="default"/>
        <w:color w:val="000000"/>
        <w:sz w:val="24"/>
      </w:rPr>
    </w:lvl>
    <w:lvl w:ilvl="7">
      <w:start w:val="1"/>
      <w:numFmt w:val="bullet"/>
      <w:lvlText w:val="o"/>
      <w:lvlJc w:val="start"/>
      <w:pPr>
        <w:ind w:left="5868" w:hanging="360"/>
      </w:pPr>
      <w:rPr>
        <w:rFonts w:ascii="Courier New" w:hAnsi="Courier New" w:eastAsia="Courier New" w:cs="Courier New" w:hint="default"/>
        <w:color w:val="000000"/>
        <w:sz w:val="24"/>
      </w:rPr>
    </w:lvl>
    <w:lvl w:ilvl="8">
      <w:start w:val="1"/>
      <w:numFmt w:val="bullet"/>
      <w:lvlText w:val=""/>
      <w:lvlJc w:val="start"/>
      <w:pPr>
        <w:ind w:left="6588" w:hanging="360"/>
      </w:pPr>
      <w:rPr>
        <w:rFonts w:ascii="Wingdings" w:hAnsi="Wingdings" w:eastAsia="Wingdings" w:cs="Wingdings" w:hint="default"/>
        <w:color w:val="000000"/>
        <w:sz w:val="24"/>
      </w:rPr>
    </w:lvl>
  </w:abstractNum>
  <w:abstractNum w:abstractNumId="6">
    <w:multiLevelType w:val="hybridMultilevel"/>
    <w:lvl w:ilvl="0">
      <w:start w:val="1"/>
      <w:numFmt w:val="decimal"/>
      <w:lvlText w:val="%1."/>
      <w:lvlJc w:val="start"/>
      <w:pPr>
        <w:ind w:left="828" w:hanging="360"/>
      </w:pPr>
      <w:rPr>
        <w:rFonts w:ascii="Calibri" w:hAnsi="Calibri" w:eastAsia="Calibri" w:cs="Calibri" w:hint="default"/>
        <w:color w:val="000000"/>
        <w:sz w:val="24"/>
      </w:rPr>
    </w:lvl>
    <w:lvl w:ilvl="1">
      <w:start w:val="1"/>
      <w:numFmt w:val="lowerLetter"/>
      <w:lvlText w:val="%2."/>
      <w:lvlJc w:val="start"/>
      <w:pPr>
        <w:ind w:left="1548" w:hanging="360"/>
      </w:pPr>
      <w:rPr>
        <w:rFonts w:ascii="Calibri" w:hAnsi="Calibri" w:eastAsia="Calibri" w:cs="Calibri" w:hint="default"/>
        <w:color w:val="000000"/>
        <w:sz w:val="24"/>
      </w:rPr>
    </w:lvl>
    <w:lvl w:ilvl="2">
      <w:start w:val="1"/>
      <w:numFmt w:val="lowerRoman"/>
      <w:lvlText w:val="%3."/>
      <w:lvlJc w:val="end"/>
      <w:pPr>
        <w:ind w:left="2268" w:hanging="180"/>
      </w:pPr>
      <w:rPr>
        <w:rFonts w:ascii="Calibri" w:hAnsi="Calibri" w:eastAsia="Calibri" w:cs="Calibri" w:hint="default"/>
        <w:color w:val="000000"/>
        <w:sz w:val="24"/>
      </w:rPr>
    </w:lvl>
    <w:lvl w:ilvl="3">
      <w:start w:val="1"/>
      <w:numFmt w:val="decimal"/>
      <w:lvlText w:val="%4."/>
      <w:lvlJc w:val="start"/>
      <w:pPr>
        <w:ind w:left="2988" w:hanging="360"/>
      </w:pPr>
      <w:rPr>
        <w:rFonts w:ascii="Calibri" w:hAnsi="Calibri" w:eastAsia="Calibri" w:cs="Calibri" w:hint="default"/>
        <w:color w:val="000000"/>
        <w:sz w:val="24"/>
      </w:rPr>
    </w:lvl>
    <w:lvl w:ilvl="4">
      <w:start w:val="1"/>
      <w:numFmt w:val="lowerLetter"/>
      <w:lvlText w:val="%5."/>
      <w:lvlJc w:val="start"/>
      <w:pPr>
        <w:ind w:left="3708" w:hanging="360"/>
      </w:pPr>
      <w:rPr>
        <w:rFonts w:ascii="Calibri" w:hAnsi="Calibri" w:eastAsia="Calibri" w:cs="Calibri" w:hint="default"/>
        <w:color w:val="000000"/>
        <w:sz w:val="24"/>
      </w:rPr>
    </w:lvl>
    <w:lvl w:ilvl="5">
      <w:start w:val="1"/>
      <w:numFmt w:val="lowerRoman"/>
      <w:lvlText w:val="%6."/>
      <w:lvlJc w:val="end"/>
      <w:pPr>
        <w:ind w:left="4428" w:hanging="180"/>
      </w:pPr>
      <w:rPr>
        <w:rFonts w:ascii="Calibri" w:hAnsi="Calibri" w:eastAsia="Calibri" w:cs="Calibri" w:hint="default"/>
        <w:color w:val="000000"/>
        <w:sz w:val="24"/>
      </w:rPr>
    </w:lvl>
    <w:lvl w:ilvl="6">
      <w:start w:val="1"/>
      <w:numFmt w:val="decimal"/>
      <w:lvlText w:val="%7."/>
      <w:lvlJc w:val="start"/>
      <w:pPr>
        <w:ind w:left="5148" w:hanging="360"/>
      </w:pPr>
      <w:rPr>
        <w:rFonts w:ascii="Calibri" w:hAnsi="Calibri" w:eastAsia="Calibri" w:cs="Calibri" w:hint="default"/>
        <w:color w:val="000000"/>
        <w:sz w:val="24"/>
      </w:rPr>
    </w:lvl>
    <w:lvl w:ilvl="7">
      <w:start w:val="1"/>
      <w:numFmt w:val="lowerLetter"/>
      <w:lvlText w:val="%8."/>
      <w:lvlJc w:val="start"/>
      <w:pPr>
        <w:ind w:left="5868" w:hanging="360"/>
      </w:pPr>
      <w:rPr>
        <w:rFonts w:ascii="Calibri" w:hAnsi="Calibri" w:eastAsia="Calibri" w:cs="Calibri" w:hint="default"/>
        <w:color w:val="000000"/>
        <w:sz w:val="24"/>
      </w:rPr>
    </w:lvl>
    <w:lvl w:ilvl="8">
      <w:start w:val="1"/>
      <w:numFmt w:val="lowerRoman"/>
      <w:lvlText w:val="%9."/>
      <w:lvlJc w:val="end"/>
      <w:pPr>
        <w:ind w:left="6588" w:hanging="180"/>
      </w:pPr>
      <w:rPr>
        <w:rFonts w:ascii="Calibri" w:hAnsi="Calibri" w:eastAsia="Calibri" w:cs="Calibri" w:hint="default"/>
        <w:color w:val="000000"/>
        <w:sz w:val="24"/>
      </w:rPr>
    </w:lvl>
  </w:abstractNum>
  <w:abstractNum w:abstractNumId="7">
    <w:multiLevelType w:val="hybridMultilevel"/>
    <w:lvl w:ilvl="0">
      <w:start w:val="1"/>
      <w:numFmt w:val="decimal"/>
      <w:lvlText w:val="%1."/>
      <w:lvlJc w:val="start"/>
      <w:pPr>
        <w:ind w:left="505" w:hanging="397"/>
      </w:pPr>
      <w:rPr>
        <w:rFonts w:ascii="Calibri" w:hAnsi="Calibri" w:eastAsia="Calibri" w:cs="Calibri" w:hint="default"/>
        <w:color w:val="000000"/>
        <w:sz w:val="24"/>
      </w:rPr>
    </w:lvl>
    <w:lvl w:ilvl="1">
      <w:start w:val="1"/>
      <w:numFmt w:val="decimal"/>
      <w:lvlText w:val="%2."/>
      <w:lvlJc w:val="start"/>
      <w:pPr>
        <w:ind w:left="902" w:hanging="397"/>
      </w:pPr>
      <w:rPr>
        <w:rFonts w:ascii="Calibri" w:hAnsi="Calibri" w:eastAsia="Calibri" w:cs="Calibri" w:hint="default"/>
        <w:color w:val="000000"/>
        <w:sz w:val="24"/>
      </w:rPr>
    </w:lvl>
    <w:lvl w:ilvl="2">
      <w:start w:val="1"/>
      <w:numFmt w:val="lowerLetter"/>
      <w:lvlText w:val="(%3)"/>
      <w:lvlJc w:val="start"/>
      <w:pPr>
        <w:ind w:left="505" w:hanging="397"/>
      </w:pPr>
      <w:rPr>
        <w:rFonts w:ascii="Calibri" w:hAnsi="Calibri" w:eastAsia="Calibri" w:cs="Calibri" w:hint="default"/>
        <w:color w:val="000000"/>
        <w:sz w:val="24"/>
      </w:rPr>
    </w:lvl>
    <w:lvl w:ilvl="3">
      <w:start w:val="1"/>
      <w:numFmt w:val="lowerLetter"/>
      <w:lvlText w:val="(%4)"/>
      <w:lvlJc w:val="start"/>
      <w:pPr>
        <w:ind w:left="902" w:hanging="397"/>
      </w:pPr>
      <w:rPr>
        <w:rFonts w:ascii="Calibri" w:hAnsi="Calibri" w:eastAsia="Calibri" w:cs="Calibri" w:hint="default"/>
        <w:color w:val="000000"/>
        <w:sz w:val="24"/>
      </w:rPr>
    </w:lvl>
    <w:lvl w:ilvl="4">
      <w:start w:val="1"/>
      <w:numFmt w:val="lowerRoman"/>
      <w:lvlText w:val="(%5)"/>
      <w:lvlJc w:val="start"/>
      <w:pPr>
        <w:ind w:left="505" w:hanging="397"/>
      </w:pPr>
      <w:rPr>
        <w:rFonts w:ascii="Calibri" w:hAnsi="Calibri" w:eastAsia="Calibri" w:cs="Calibri" w:hint="default"/>
        <w:color w:val="000000"/>
        <w:sz w:val="24"/>
      </w:rPr>
    </w:lvl>
    <w:lvl w:ilvl="5">
      <w:start w:val="1"/>
      <w:numFmt w:val="lowerRoman"/>
      <w:lvlText w:val="(%6)"/>
      <w:lvlJc w:val="start"/>
      <w:pPr>
        <w:ind w:left="902" w:hanging="397"/>
      </w:pPr>
      <w:rPr>
        <w:rFonts w:ascii="Calibri" w:hAnsi="Calibri" w:eastAsia="Calibri" w:cs="Calibri" w:hint="default"/>
        <w:color w:val="000000"/>
        <w:sz w:val="24"/>
      </w:rPr>
    </w:lvl>
    <w:lvl w:ilvl="6">
      <w:start w:val="1"/>
      <w:numFmt w:val="none"/>
      <w:lvlText w:val=""/>
      <w:lvlJc w:val="start"/>
      <w:pPr>
        <w:ind w:left="108" w:hanging="0"/>
      </w:pPr>
      <w:rPr>
        <w:rFonts w:ascii="Calibri" w:hAnsi="Calibri" w:eastAsia="Calibri" w:cs="Calibri" w:hint="default"/>
        <w:color w:val="000000"/>
        <w:sz w:val="24"/>
      </w:rPr>
    </w:lvl>
    <w:lvl w:ilvl="7">
      <w:start w:val="1"/>
      <w:numFmt w:val="none"/>
      <w:lvlText w:val=""/>
      <w:lvlJc w:val="start"/>
      <w:pPr>
        <w:ind w:left="108" w:hanging="0"/>
      </w:pPr>
      <w:rPr>
        <w:rFonts w:ascii="Calibri" w:hAnsi="Calibri" w:eastAsia="Calibri" w:cs="Calibri" w:hint="default"/>
        <w:color w:val="000000"/>
        <w:sz w:val="24"/>
      </w:rPr>
    </w:lvl>
    <w:lvl w:ilvl="8">
      <w:start w:val="1"/>
      <w:numFmt w:val="none"/>
      <w:lvlText w:val=""/>
      <w:lvlJc w:val="end"/>
      <w:pPr>
        <w:ind w:left="108" w:hanging="0"/>
      </w:pPr>
      <w:rPr>
        <w:rFonts w:ascii="Calibri" w:hAnsi="Calibri" w:eastAsia="Calibri" w:cs="Calibri" w:hint="default"/>
        <w:color w:val="000000"/>
        <w:sz w:val="24"/>
      </w:rPr>
    </w:lvl>
  </w:abstractNum>
  <w:abstractNum w:abstractNumId="8">
    <w:multiLevelType w:val="hybridMultilevel"/>
    <w:lvl w:ilvl="0">
      <w:start w:val="1"/>
      <w:numFmt w:val="bullet"/>
      <w:lvlText w:val=""/>
      <w:lvlJc w:val="start"/>
      <w:pPr>
        <w:ind w:left="828" w:hanging="360"/>
      </w:pPr>
      <w:rPr>
        <w:rFonts w:ascii="Symbol" w:hAnsi="Symbol" w:eastAsia="Symbol" w:cs="Symbol" w:hint="default"/>
        <w:color w:val="000000"/>
        <w:sz w:val="24"/>
      </w:rPr>
    </w:lvl>
    <w:lvl w:ilvl="1">
      <w:start w:val="1"/>
      <w:numFmt w:val="bullet"/>
      <w:lvlText w:val="o"/>
      <w:lvlJc w:val="start"/>
      <w:pPr>
        <w:ind w:left="1548" w:hanging="360"/>
      </w:pPr>
      <w:rPr>
        <w:rFonts w:ascii="Courier New" w:hAnsi="Courier New" w:eastAsia="Courier New" w:cs="Courier New" w:hint="default"/>
        <w:color w:val="000000"/>
        <w:sz w:val="24"/>
      </w:rPr>
    </w:lvl>
    <w:lvl w:ilvl="2">
      <w:start w:val="1"/>
      <w:numFmt w:val="bullet"/>
      <w:lvlText w:val=""/>
      <w:lvlJc w:val="start"/>
      <w:pPr>
        <w:ind w:left="2268" w:hanging="360"/>
      </w:pPr>
      <w:rPr>
        <w:rFonts w:ascii="Wingdings" w:hAnsi="Wingdings" w:eastAsia="Wingdings" w:cs="Wingdings" w:hint="default"/>
        <w:color w:val="000000"/>
        <w:sz w:val="24"/>
      </w:rPr>
    </w:lvl>
    <w:lvl w:ilvl="3">
      <w:start w:val="1"/>
      <w:numFmt w:val="bullet"/>
      <w:lvlText w:val=""/>
      <w:lvlJc w:val="start"/>
      <w:pPr>
        <w:ind w:left="2988" w:hanging="360"/>
      </w:pPr>
      <w:rPr>
        <w:rFonts w:ascii="Symbol" w:hAnsi="Symbol" w:eastAsia="Symbol" w:cs="Symbol" w:hint="default"/>
        <w:color w:val="000000"/>
        <w:sz w:val="24"/>
      </w:rPr>
    </w:lvl>
    <w:lvl w:ilvl="4">
      <w:start w:val="1"/>
      <w:numFmt w:val="bullet"/>
      <w:lvlText w:val="o"/>
      <w:lvlJc w:val="start"/>
      <w:pPr>
        <w:ind w:left="3708" w:hanging="360"/>
      </w:pPr>
      <w:rPr>
        <w:rFonts w:ascii="Courier New" w:hAnsi="Courier New" w:eastAsia="Courier New" w:cs="Courier New" w:hint="default"/>
        <w:color w:val="000000"/>
        <w:sz w:val="24"/>
      </w:rPr>
    </w:lvl>
    <w:lvl w:ilvl="5">
      <w:start w:val="1"/>
      <w:numFmt w:val="bullet"/>
      <w:lvlText w:val=""/>
      <w:lvlJc w:val="start"/>
      <w:pPr>
        <w:ind w:left="4428" w:hanging="360"/>
      </w:pPr>
      <w:rPr>
        <w:rFonts w:ascii="Wingdings" w:hAnsi="Wingdings" w:eastAsia="Wingdings" w:cs="Wingdings" w:hint="default"/>
        <w:color w:val="000000"/>
        <w:sz w:val="24"/>
      </w:rPr>
    </w:lvl>
    <w:lvl w:ilvl="6">
      <w:start w:val="1"/>
      <w:numFmt w:val="bullet"/>
      <w:lvlText w:val=""/>
      <w:lvlJc w:val="start"/>
      <w:pPr>
        <w:ind w:left="5148" w:hanging="360"/>
      </w:pPr>
      <w:rPr>
        <w:rFonts w:ascii="Symbol" w:hAnsi="Symbol" w:eastAsia="Symbol" w:cs="Symbol" w:hint="default"/>
        <w:color w:val="000000"/>
        <w:sz w:val="24"/>
      </w:rPr>
    </w:lvl>
    <w:lvl w:ilvl="7">
      <w:start w:val="1"/>
      <w:numFmt w:val="bullet"/>
      <w:lvlText w:val="o"/>
      <w:lvlJc w:val="start"/>
      <w:pPr>
        <w:ind w:left="5868" w:hanging="360"/>
      </w:pPr>
      <w:rPr>
        <w:rFonts w:ascii="Courier New" w:hAnsi="Courier New" w:eastAsia="Courier New" w:cs="Courier New" w:hint="default"/>
        <w:color w:val="000000"/>
        <w:sz w:val="24"/>
      </w:rPr>
    </w:lvl>
    <w:lvl w:ilvl="8">
      <w:start w:val="1"/>
      <w:numFmt w:val="bullet"/>
      <w:lvlText w:val=""/>
      <w:lvlJc w:val="start"/>
      <w:pPr>
        <w:ind w:left="6588" w:hanging="360"/>
      </w:pPr>
      <w:rPr>
        <w:rFonts w:ascii="Wingdings" w:hAnsi="Wingdings" w:eastAsia="Wingdings" w:cs="Wingdings" w:hint="default"/>
        <w:color w:val="000000"/>
        <w:sz w:val="24"/>
      </w:rPr>
    </w:lvl>
  </w:abstractNum>
  <w:abstractNum w:abstractNumId="9">
    <w:multiLevelType w:val="hybridMultilevel"/>
    <w:lvl w:ilvl="0">
      <w:start w:val="1"/>
      <w:numFmt w:val="decimal"/>
      <w:lvlText w:val="%1."/>
      <w:lvlJc w:val="start"/>
      <w:pPr>
        <w:ind w:left="468" w:hanging="360"/>
      </w:pPr>
      <w:rPr>
        <w:rFonts w:ascii="Calibri" w:hAnsi="Calibri" w:eastAsia="Calibri" w:cs="Calibri" w:hint="default"/>
        <w:color w:val="000000"/>
        <w:sz w:val="24"/>
      </w:rPr>
    </w:lvl>
    <w:lvl w:ilvl="1">
      <w:start w:val="1"/>
      <w:numFmt w:val="lowerLetter"/>
      <w:lvlText w:val="%2."/>
      <w:lvlJc w:val="start"/>
      <w:pPr>
        <w:ind w:left="1188" w:hanging="360"/>
      </w:pPr>
      <w:rPr>
        <w:rFonts w:ascii="Calibri" w:hAnsi="Calibri" w:eastAsia="Calibri" w:cs="Calibri" w:hint="default"/>
        <w:color w:val="000000"/>
        <w:sz w:val="24"/>
      </w:rPr>
    </w:lvl>
    <w:lvl w:ilvl="2">
      <w:start w:val="1"/>
      <w:numFmt w:val="lowerRoman"/>
      <w:lvlText w:val="%3."/>
      <w:lvlJc w:val="end"/>
      <w:pPr>
        <w:ind w:left="1908" w:hanging="180"/>
      </w:pPr>
      <w:rPr>
        <w:rFonts w:ascii="Calibri" w:hAnsi="Calibri" w:eastAsia="Calibri" w:cs="Calibri" w:hint="default"/>
        <w:color w:val="000000"/>
        <w:sz w:val="24"/>
      </w:rPr>
    </w:lvl>
    <w:lvl w:ilvl="3">
      <w:start w:val="1"/>
      <w:numFmt w:val="decimal"/>
      <w:lvlText w:val="%4."/>
      <w:lvlJc w:val="start"/>
      <w:pPr>
        <w:ind w:left="2628" w:hanging="360"/>
      </w:pPr>
      <w:rPr>
        <w:rFonts w:ascii="Calibri" w:hAnsi="Calibri" w:eastAsia="Calibri" w:cs="Calibri" w:hint="default"/>
        <w:color w:val="000000"/>
        <w:sz w:val="24"/>
      </w:rPr>
    </w:lvl>
    <w:lvl w:ilvl="4">
      <w:start w:val="1"/>
      <w:numFmt w:val="lowerLetter"/>
      <w:lvlText w:val="%5."/>
      <w:lvlJc w:val="start"/>
      <w:pPr>
        <w:ind w:left="3348" w:hanging="360"/>
      </w:pPr>
      <w:rPr>
        <w:rFonts w:ascii="Calibri" w:hAnsi="Calibri" w:eastAsia="Calibri" w:cs="Calibri" w:hint="default"/>
        <w:color w:val="000000"/>
        <w:sz w:val="24"/>
      </w:rPr>
    </w:lvl>
    <w:lvl w:ilvl="5">
      <w:start w:val="1"/>
      <w:numFmt w:val="lowerRoman"/>
      <w:lvlText w:val="%6."/>
      <w:lvlJc w:val="end"/>
      <w:pPr>
        <w:ind w:left="4068" w:hanging="180"/>
      </w:pPr>
      <w:rPr>
        <w:rFonts w:ascii="Calibri" w:hAnsi="Calibri" w:eastAsia="Calibri" w:cs="Calibri" w:hint="default"/>
        <w:color w:val="000000"/>
        <w:sz w:val="24"/>
      </w:rPr>
    </w:lvl>
    <w:lvl w:ilvl="6">
      <w:start w:val="1"/>
      <w:numFmt w:val="decimal"/>
      <w:lvlText w:val="%7."/>
      <w:lvlJc w:val="start"/>
      <w:pPr>
        <w:ind w:left="4788" w:hanging="360"/>
      </w:pPr>
      <w:rPr>
        <w:rFonts w:ascii="Calibri" w:hAnsi="Calibri" w:eastAsia="Calibri" w:cs="Calibri" w:hint="default"/>
        <w:color w:val="000000"/>
        <w:sz w:val="24"/>
      </w:rPr>
    </w:lvl>
    <w:lvl w:ilvl="7">
      <w:start w:val="1"/>
      <w:numFmt w:val="lowerLetter"/>
      <w:lvlText w:val="%8."/>
      <w:lvlJc w:val="start"/>
      <w:pPr>
        <w:ind w:left="5508" w:hanging="360"/>
      </w:pPr>
      <w:rPr>
        <w:rFonts w:ascii="Calibri" w:hAnsi="Calibri" w:eastAsia="Calibri" w:cs="Calibri" w:hint="default"/>
        <w:color w:val="000000"/>
        <w:sz w:val="24"/>
      </w:rPr>
    </w:lvl>
    <w:lvl w:ilvl="8">
      <w:start w:val="1"/>
      <w:numFmt w:val="lowerRoman"/>
      <w:lvlText w:val="%9."/>
      <w:lvlJc w:val="end"/>
      <w:pPr>
        <w:ind w:left="6228" w:hanging="180"/>
      </w:pPr>
      <w:rPr>
        <w:rFonts w:ascii="Calibri" w:hAnsi="Calibri" w:eastAsia="Calibri" w:cs="Calibri" w:hint="default"/>
        <w:color w:val="000000"/>
        <w:sz w:val="24"/>
      </w:rPr>
    </w:lvl>
  </w:abstractNum>
  <w:abstractNum w:abstractNumId="10">
    <w:multiLevelType w:val="hybridMultilevel"/>
    <w:lvl w:ilvl="0">
      <w:start w:val="1"/>
      <w:numFmt w:val="decimal"/>
      <w:lvlText w:val="%1."/>
      <w:lvlJc w:val="start"/>
      <w:pPr>
        <w:ind w:left="828" w:hanging="360"/>
      </w:pPr>
      <w:rPr>
        <w:rFonts w:ascii="Calibri" w:hAnsi="Calibri" w:eastAsia="Calibri" w:cs="Calibri" w:hint="default"/>
        <w:color w:val="000000"/>
        <w:sz w:val="24"/>
      </w:rPr>
    </w:lvl>
    <w:lvl w:ilvl="1">
      <w:start w:val="1"/>
      <w:numFmt w:val="lowerLetter"/>
      <w:lvlText w:val="%2."/>
      <w:lvlJc w:val="start"/>
      <w:pPr>
        <w:ind w:left="1548" w:hanging="360"/>
      </w:pPr>
      <w:rPr>
        <w:rFonts w:ascii="Calibri" w:hAnsi="Calibri" w:eastAsia="Calibri" w:cs="Calibri" w:hint="default"/>
        <w:color w:val="000000"/>
        <w:sz w:val="24"/>
      </w:rPr>
    </w:lvl>
    <w:lvl w:ilvl="2">
      <w:start w:val="1"/>
      <w:numFmt w:val="lowerRoman"/>
      <w:lvlText w:val="%3."/>
      <w:lvlJc w:val="end"/>
      <w:pPr>
        <w:ind w:left="2268" w:hanging="180"/>
      </w:pPr>
      <w:rPr>
        <w:rFonts w:ascii="Calibri" w:hAnsi="Calibri" w:eastAsia="Calibri" w:cs="Calibri" w:hint="default"/>
        <w:color w:val="000000"/>
        <w:sz w:val="24"/>
      </w:rPr>
    </w:lvl>
    <w:lvl w:ilvl="3">
      <w:start w:val="1"/>
      <w:numFmt w:val="decimal"/>
      <w:lvlText w:val="%4."/>
      <w:lvlJc w:val="start"/>
      <w:pPr>
        <w:ind w:left="2988" w:hanging="360"/>
      </w:pPr>
      <w:rPr>
        <w:rFonts w:ascii="Calibri" w:hAnsi="Calibri" w:eastAsia="Calibri" w:cs="Calibri" w:hint="default"/>
        <w:color w:val="000000"/>
        <w:sz w:val="24"/>
      </w:rPr>
    </w:lvl>
    <w:lvl w:ilvl="4">
      <w:start w:val="1"/>
      <w:numFmt w:val="lowerLetter"/>
      <w:lvlText w:val="%5."/>
      <w:lvlJc w:val="start"/>
      <w:pPr>
        <w:ind w:left="3708" w:hanging="360"/>
      </w:pPr>
      <w:rPr>
        <w:rFonts w:ascii="Calibri" w:hAnsi="Calibri" w:eastAsia="Calibri" w:cs="Calibri" w:hint="default"/>
        <w:color w:val="000000"/>
        <w:sz w:val="24"/>
      </w:rPr>
    </w:lvl>
    <w:lvl w:ilvl="5">
      <w:start w:val="1"/>
      <w:numFmt w:val="lowerRoman"/>
      <w:lvlText w:val="%6."/>
      <w:lvlJc w:val="end"/>
      <w:pPr>
        <w:ind w:left="4428" w:hanging="180"/>
      </w:pPr>
      <w:rPr>
        <w:rFonts w:ascii="Calibri" w:hAnsi="Calibri" w:eastAsia="Calibri" w:cs="Calibri" w:hint="default"/>
        <w:color w:val="000000"/>
        <w:sz w:val="24"/>
      </w:rPr>
    </w:lvl>
    <w:lvl w:ilvl="6">
      <w:start w:val="1"/>
      <w:numFmt w:val="decimal"/>
      <w:lvlText w:val="%7."/>
      <w:lvlJc w:val="start"/>
      <w:pPr>
        <w:ind w:left="5148" w:hanging="360"/>
      </w:pPr>
      <w:rPr>
        <w:rFonts w:ascii="Calibri" w:hAnsi="Calibri" w:eastAsia="Calibri" w:cs="Calibri" w:hint="default"/>
        <w:color w:val="000000"/>
        <w:sz w:val="24"/>
      </w:rPr>
    </w:lvl>
    <w:lvl w:ilvl="7">
      <w:start w:val="1"/>
      <w:numFmt w:val="lowerLetter"/>
      <w:lvlText w:val="%8."/>
      <w:lvlJc w:val="start"/>
      <w:pPr>
        <w:ind w:left="5868" w:hanging="360"/>
      </w:pPr>
      <w:rPr>
        <w:rFonts w:ascii="Calibri" w:hAnsi="Calibri" w:eastAsia="Calibri" w:cs="Calibri" w:hint="default"/>
        <w:color w:val="000000"/>
        <w:sz w:val="24"/>
      </w:rPr>
    </w:lvl>
    <w:lvl w:ilvl="8">
      <w:start w:val="1"/>
      <w:numFmt w:val="lowerRoman"/>
      <w:lvlText w:val="%9."/>
      <w:lvlJc w:val="end"/>
      <w:pPr>
        <w:ind w:left="6588" w:hanging="180"/>
      </w:pPr>
      <w:rPr>
        <w:rFonts w:ascii="Calibri" w:hAnsi="Calibri" w:eastAsia="Calibri" w:cs="Calibri" w:hint="default"/>
        <w:color w:val="000000"/>
        <w:sz w:val="24"/>
      </w:rPr>
    </w:lvl>
  </w:abstractNum>
  <w:abstractNum w:abstractNumId="11">
    <w:multiLevelType w:val="hybridMultilevel"/>
    <w:lvl w:ilvl="0">
      <w:start w:val="1"/>
      <w:numFmt w:val="decimal"/>
      <w:lvlText w:val="%1."/>
      <w:lvlJc w:val="start"/>
      <w:pPr>
        <w:ind w:left="505" w:hanging="397"/>
      </w:pPr>
      <w:rPr>
        <w:rFonts w:ascii="Calibri" w:hAnsi="Calibri" w:eastAsia="Calibri" w:cs="Calibri" w:hint="default"/>
        <w:color w:val="000000"/>
        <w:sz w:val="24"/>
      </w:rPr>
    </w:lvl>
    <w:lvl w:ilvl="1">
      <w:start w:val="1"/>
      <w:numFmt w:val="decimal"/>
      <w:lvlText w:val="%2."/>
      <w:lvlJc w:val="start"/>
      <w:pPr>
        <w:ind w:left="902" w:hanging="397"/>
      </w:pPr>
      <w:rPr>
        <w:rFonts w:ascii="Calibri" w:hAnsi="Calibri" w:eastAsia="Calibri" w:cs="Calibri" w:hint="default"/>
        <w:color w:val="000000"/>
        <w:sz w:val="24"/>
      </w:rPr>
    </w:lvl>
    <w:lvl w:ilvl="2">
      <w:start w:val="1"/>
      <w:numFmt w:val="lowerLetter"/>
      <w:lvlText w:val="(%3)"/>
      <w:lvlJc w:val="start"/>
      <w:pPr>
        <w:ind w:left="505" w:hanging="397"/>
      </w:pPr>
      <w:rPr>
        <w:rFonts w:ascii="Calibri" w:hAnsi="Calibri" w:eastAsia="Calibri" w:cs="Calibri" w:hint="default"/>
        <w:color w:val="000000"/>
        <w:sz w:val="24"/>
      </w:rPr>
    </w:lvl>
    <w:lvl w:ilvl="3">
      <w:start w:val="1"/>
      <w:numFmt w:val="lowerLetter"/>
      <w:lvlText w:val="(%4)"/>
      <w:lvlJc w:val="start"/>
      <w:pPr>
        <w:ind w:left="902" w:hanging="397"/>
      </w:pPr>
      <w:rPr>
        <w:rFonts w:ascii="Calibri" w:hAnsi="Calibri" w:eastAsia="Calibri" w:cs="Calibri" w:hint="default"/>
        <w:color w:val="000000"/>
        <w:sz w:val="24"/>
      </w:rPr>
    </w:lvl>
    <w:lvl w:ilvl="4">
      <w:start w:val="1"/>
      <w:numFmt w:val="lowerRoman"/>
      <w:lvlText w:val="(%5)"/>
      <w:lvlJc w:val="start"/>
      <w:pPr>
        <w:ind w:left="505" w:hanging="397"/>
      </w:pPr>
      <w:rPr>
        <w:rFonts w:ascii="Calibri" w:hAnsi="Calibri" w:eastAsia="Calibri" w:cs="Calibri" w:hint="default"/>
        <w:color w:val="000000"/>
        <w:sz w:val="24"/>
      </w:rPr>
    </w:lvl>
    <w:lvl w:ilvl="5">
      <w:start w:val="1"/>
      <w:numFmt w:val="lowerRoman"/>
      <w:lvlText w:val="(%6)"/>
      <w:lvlJc w:val="start"/>
      <w:pPr>
        <w:ind w:left="902" w:hanging="397"/>
      </w:pPr>
      <w:rPr>
        <w:rFonts w:ascii="Calibri" w:hAnsi="Calibri" w:eastAsia="Calibri" w:cs="Calibri" w:hint="default"/>
        <w:color w:val="000000"/>
        <w:sz w:val="24"/>
      </w:rPr>
    </w:lvl>
    <w:lvl w:ilvl="6">
      <w:start w:val="1"/>
      <w:numFmt w:val="none"/>
      <w:lvlText w:val=""/>
      <w:lvlJc w:val="start"/>
      <w:pPr>
        <w:ind w:left="108" w:hanging="0"/>
      </w:pPr>
      <w:rPr>
        <w:rFonts w:ascii="Calibri" w:hAnsi="Calibri" w:eastAsia="Calibri" w:cs="Calibri" w:hint="default"/>
        <w:color w:val="000000"/>
        <w:sz w:val="24"/>
      </w:rPr>
    </w:lvl>
    <w:lvl w:ilvl="7">
      <w:start w:val="1"/>
      <w:numFmt w:val="none"/>
      <w:lvlText w:val=""/>
      <w:lvlJc w:val="start"/>
      <w:pPr>
        <w:ind w:left="108" w:hanging="0"/>
      </w:pPr>
      <w:rPr>
        <w:rFonts w:ascii="Calibri" w:hAnsi="Calibri" w:eastAsia="Calibri" w:cs="Calibri" w:hint="default"/>
        <w:color w:val="000000"/>
        <w:sz w:val="24"/>
      </w:rPr>
    </w:lvl>
    <w:lvl w:ilvl="8">
      <w:start w:val="1"/>
      <w:numFmt w:val="none"/>
      <w:lvlText w:val=""/>
      <w:lvlJc w:val="end"/>
      <w:pPr>
        <w:ind w:left="108" w:hanging="0"/>
      </w:pPr>
      <w:rPr>
        <w:rFonts w:ascii="Calibri" w:hAnsi="Calibri" w:eastAsia="Calibri" w:cs="Calibri" w:hint="default"/>
        <w:color w:val="000000"/>
        <w:sz w:val="24"/>
      </w:rPr>
    </w:lvl>
  </w:abstractNum>
  <w:abstractNum w:abstractNumId="12">
    <w:multiLevelType w:val="hybridMultilevel"/>
    <w:lvl w:ilvl="0">
      <w:start w:val="1"/>
      <w:numFmt w:val="bullet"/>
      <w:lvlText w:val=""/>
      <w:lvlJc w:val="start"/>
      <w:pPr>
        <w:ind w:left="828" w:hanging="360"/>
      </w:pPr>
      <w:rPr>
        <w:rFonts w:ascii="Symbol" w:hAnsi="Symbol" w:eastAsia="Symbol" w:cs="Symbol" w:hint="default"/>
        <w:color w:val="000000"/>
        <w:sz w:val="24"/>
      </w:rPr>
    </w:lvl>
    <w:lvl w:ilvl="1">
      <w:start w:val="1"/>
      <w:numFmt w:val="bullet"/>
      <w:lvlText w:val="o"/>
      <w:lvlJc w:val="start"/>
      <w:pPr>
        <w:ind w:left="1548" w:hanging="360"/>
      </w:pPr>
      <w:rPr>
        <w:rFonts w:ascii="Courier New" w:hAnsi="Courier New" w:eastAsia="Courier New" w:cs="Courier New" w:hint="default"/>
        <w:color w:val="000000"/>
        <w:sz w:val="24"/>
      </w:rPr>
    </w:lvl>
    <w:lvl w:ilvl="2">
      <w:start w:val="1"/>
      <w:numFmt w:val="bullet"/>
      <w:lvlText w:val=""/>
      <w:lvlJc w:val="start"/>
      <w:pPr>
        <w:ind w:left="2268" w:hanging="360"/>
      </w:pPr>
      <w:rPr>
        <w:rFonts w:ascii="Wingdings" w:hAnsi="Wingdings" w:eastAsia="Wingdings" w:cs="Wingdings" w:hint="default"/>
        <w:color w:val="000000"/>
        <w:sz w:val="24"/>
      </w:rPr>
    </w:lvl>
    <w:lvl w:ilvl="3">
      <w:start w:val="1"/>
      <w:numFmt w:val="bullet"/>
      <w:lvlText w:val=""/>
      <w:lvlJc w:val="start"/>
      <w:pPr>
        <w:ind w:left="2988" w:hanging="360"/>
      </w:pPr>
      <w:rPr>
        <w:rFonts w:ascii="Symbol" w:hAnsi="Symbol" w:eastAsia="Symbol" w:cs="Symbol" w:hint="default"/>
        <w:color w:val="000000"/>
        <w:sz w:val="24"/>
      </w:rPr>
    </w:lvl>
    <w:lvl w:ilvl="4">
      <w:start w:val="1"/>
      <w:numFmt w:val="bullet"/>
      <w:lvlText w:val="o"/>
      <w:lvlJc w:val="start"/>
      <w:pPr>
        <w:ind w:left="3708" w:hanging="360"/>
      </w:pPr>
      <w:rPr>
        <w:rFonts w:ascii="Courier New" w:hAnsi="Courier New" w:eastAsia="Courier New" w:cs="Courier New" w:hint="default"/>
        <w:color w:val="000000"/>
        <w:sz w:val="24"/>
      </w:rPr>
    </w:lvl>
    <w:lvl w:ilvl="5">
      <w:start w:val="1"/>
      <w:numFmt w:val="bullet"/>
      <w:lvlText w:val=""/>
      <w:lvlJc w:val="start"/>
      <w:pPr>
        <w:ind w:left="4428" w:hanging="360"/>
      </w:pPr>
      <w:rPr>
        <w:rFonts w:ascii="Wingdings" w:hAnsi="Wingdings" w:eastAsia="Wingdings" w:cs="Wingdings" w:hint="default"/>
        <w:color w:val="000000"/>
        <w:sz w:val="24"/>
      </w:rPr>
    </w:lvl>
    <w:lvl w:ilvl="6">
      <w:start w:val="1"/>
      <w:numFmt w:val="bullet"/>
      <w:lvlText w:val=""/>
      <w:lvlJc w:val="start"/>
      <w:pPr>
        <w:ind w:left="5148" w:hanging="360"/>
      </w:pPr>
      <w:rPr>
        <w:rFonts w:ascii="Symbol" w:hAnsi="Symbol" w:eastAsia="Symbol" w:cs="Symbol" w:hint="default"/>
        <w:color w:val="000000"/>
        <w:sz w:val="24"/>
      </w:rPr>
    </w:lvl>
    <w:lvl w:ilvl="7">
      <w:start w:val="1"/>
      <w:numFmt w:val="bullet"/>
      <w:lvlText w:val="o"/>
      <w:lvlJc w:val="start"/>
      <w:pPr>
        <w:ind w:left="5868" w:hanging="360"/>
      </w:pPr>
      <w:rPr>
        <w:rFonts w:ascii="Courier New" w:hAnsi="Courier New" w:eastAsia="Courier New" w:cs="Courier New" w:hint="default"/>
        <w:color w:val="000000"/>
        <w:sz w:val="24"/>
      </w:rPr>
    </w:lvl>
    <w:lvl w:ilvl="8">
      <w:start w:val="1"/>
      <w:numFmt w:val="bullet"/>
      <w:lvlText w:val=""/>
      <w:lvlJc w:val="start"/>
      <w:pPr>
        <w:ind w:left="6588" w:hanging="360"/>
      </w:pPr>
      <w:rPr>
        <w:rFonts w:ascii="Wingdings" w:hAnsi="Wingdings" w:eastAsia="Wingdings" w:cs="Wingdings" w:hint="default"/>
        <w:color w:val="000000"/>
        <w:sz w:val="24"/>
      </w:rPr>
    </w:lvl>
  </w:abstractNum>
  <w:abstractNum w:abstractNumId="13">
    <w:multiLevelType w:val="hybridMultilevel"/>
    <w:lvl w:ilvl="0">
      <w:start w:val="1"/>
      <w:numFmt w:val="bullet"/>
      <w:lvlText w:val=""/>
      <w:lvlJc w:val="start"/>
      <w:pPr>
        <w:ind w:left="828" w:hanging="360"/>
      </w:pPr>
      <w:rPr>
        <w:rFonts w:ascii="Symbol" w:hAnsi="Symbol" w:eastAsia="Symbol" w:cs="Symbol" w:hint="default"/>
        <w:color w:val="000000"/>
        <w:sz w:val="24"/>
      </w:rPr>
    </w:lvl>
    <w:lvl w:ilvl="1">
      <w:start w:val="1"/>
      <w:numFmt w:val="bullet"/>
      <w:lvlText w:val="o"/>
      <w:lvlJc w:val="start"/>
      <w:pPr>
        <w:ind w:left="1548" w:hanging="360"/>
      </w:pPr>
      <w:rPr>
        <w:rFonts w:ascii="Courier New" w:hAnsi="Courier New" w:eastAsia="Courier New" w:cs="Courier New" w:hint="default"/>
        <w:color w:val="000000"/>
        <w:sz w:val="24"/>
      </w:rPr>
    </w:lvl>
    <w:lvl w:ilvl="2">
      <w:start w:val="1"/>
      <w:numFmt w:val="bullet"/>
      <w:lvlText w:val=""/>
      <w:lvlJc w:val="start"/>
      <w:pPr>
        <w:ind w:left="2268" w:hanging="360"/>
      </w:pPr>
      <w:rPr>
        <w:rFonts w:ascii="Wingdings" w:hAnsi="Wingdings" w:eastAsia="Wingdings" w:cs="Wingdings" w:hint="default"/>
        <w:color w:val="000000"/>
        <w:sz w:val="24"/>
      </w:rPr>
    </w:lvl>
    <w:lvl w:ilvl="3">
      <w:start w:val="1"/>
      <w:numFmt w:val="bullet"/>
      <w:lvlText w:val=""/>
      <w:lvlJc w:val="start"/>
      <w:pPr>
        <w:ind w:left="2988" w:hanging="360"/>
      </w:pPr>
      <w:rPr>
        <w:rFonts w:ascii="Symbol" w:hAnsi="Symbol" w:eastAsia="Symbol" w:cs="Symbol" w:hint="default"/>
        <w:color w:val="000000"/>
        <w:sz w:val="24"/>
      </w:rPr>
    </w:lvl>
    <w:lvl w:ilvl="4">
      <w:start w:val="1"/>
      <w:numFmt w:val="bullet"/>
      <w:lvlText w:val="o"/>
      <w:lvlJc w:val="start"/>
      <w:pPr>
        <w:ind w:left="3708" w:hanging="360"/>
      </w:pPr>
      <w:rPr>
        <w:rFonts w:ascii="Courier New" w:hAnsi="Courier New" w:eastAsia="Courier New" w:cs="Courier New" w:hint="default"/>
        <w:color w:val="000000"/>
        <w:sz w:val="24"/>
      </w:rPr>
    </w:lvl>
    <w:lvl w:ilvl="5">
      <w:start w:val="1"/>
      <w:numFmt w:val="bullet"/>
      <w:lvlText w:val=""/>
      <w:lvlJc w:val="start"/>
      <w:pPr>
        <w:ind w:left="4428" w:hanging="360"/>
      </w:pPr>
      <w:rPr>
        <w:rFonts w:ascii="Wingdings" w:hAnsi="Wingdings" w:eastAsia="Wingdings" w:cs="Wingdings" w:hint="default"/>
        <w:color w:val="000000"/>
        <w:sz w:val="24"/>
      </w:rPr>
    </w:lvl>
    <w:lvl w:ilvl="6">
      <w:start w:val="1"/>
      <w:numFmt w:val="bullet"/>
      <w:lvlText w:val=""/>
      <w:lvlJc w:val="start"/>
      <w:pPr>
        <w:ind w:left="5148" w:hanging="360"/>
      </w:pPr>
      <w:rPr>
        <w:rFonts w:ascii="Symbol" w:hAnsi="Symbol" w:eastAsia="Symbol" w:cs="Symbol" w:hint="default"/>
        <w:color w:val="000000"/>
        <w:sz w:val="24"/>
      </w:rPr>
    </w:lvl>
    <w:lvl w:ilvl="7">
      <w:start w:val="1"/>
      <w:numFmt w:val="bullet"/>
      <w:lvlText w:val="o"/>
      <w:lvlJc w:val="start"/>
      <w:pPr>
        <w:ind w:left="5868" w:hanging="360"/>
      </w:pPr>
      <w:rPr>
        <w:rFonts w:ascii="Courier New" w:hAnsi="Courier New" w:eastAsia="Courier New" w:cs="Courier New" w:hint="default"/>
        <w:color w:val="000000"/>
        <w:sz w:val="24"/>
      </w:rPr>
    </w:lvl>
    <w:lvl w:ilvl="8">
      <w:start w:val="1"/>
      <w:numFmt w:val="bullet"/>
      <w:lvlText w:val=""/>
      <w:lvlJc w:val="start"/>
      <w:pPr>
        <w:ind w:left="6588" w:hanging="360"/>
      </w:pPr>
      <w:rPr>
        <w:rFonts w:ascii="Wingdings" w:hAnsi="Wingdings" w:eastAsia="Wingdings" w:cs="Wingdings" w:hint="default"/>
        <w:color w:val="000000"/>
        <w:sz w:val="24"/>
      </w:rPr>
    </w:lvl>
  </w:abstractNum>
  <w:abstractNum w:abstractNumId="14">
    <w:multiLevelType w:val="hybridMultilevel"/>
    <w:lvl w:ilvl="0">
      <w:start w:val="1"/>
      <w:numFmt w:val="bullet"/>
      <w:lvlText w:val="•"/>
      <w:lvlJc w:val="start"/>
      <w:pPr>
        <w:ind w:left="392" w:hanging="284"/>
      </w:pPr>
      <w:rPr>
        <w:rFonts w:ascii="Calibri" w:hAnsi="Calibri" w:eastAsia="Calibri" w:cs="Calibri" w:hint="default"/>
        <w:color w:val="000000"/>
        <w:sz w:val="20"/>
      </w:rPr>
    </w:lvl>
    <w:lvl w:ilvl="1">
      <w:start w:val="1"/>
      <w:numFmt w:val="bullet"/>
      <w:lvlText w:val="•"/>
      <w:lvlJc w:val="start"/>
      <w:pPr>
        <w:ind w:left="392" w:hanging="284"/>
      </w:pPr>
      <w:rPr>
        <w:rFonts w:ascii="Calibri" w:hAnsi="Calibri" w:eastAsia="Calibri" w:cs="Calibri" w:hint="default"/>
        <w:color w:val="000000"/>
        <w:sz w:val="24"/>
      </w:rPr>
    </w:lvl>
    <w:lvl w:ilvl="2">
      <w:start w:val="1"/>
      <w:numFmt w:val="bullet"/>
      <w:lvlText w:val="–"/>
      <w:lvlJc w:val="start"/>
      <w:pPr>
        <w:ind w:left="675" w:hanging="283"/>
      </w:pPr>
      <w:rPr>
        <w:rFonts w:ascii="Arial" w:hAnsi="Arial" w:eastAsia="Arial" w:cs="Arial" w:hint="default"/>
        <w:color w:val="000000"/>
        <w:sz w:val="24"/>
      </w:rPr>
    </w:lvl>
    <w:lvl w:ilvl="3">
      <w:start w:val="1"/>
      <w:numFmt w:val="bullet"/>
      <w:lvlText w:val="–"/>
      <w:lvlJc w:val="start"/>
      <w:pPr>
        <w:ind w:left="675" w:hanging="283"/>
      </w:pPr>
      <w:rPr>
        <w:rFonts w:ascii="Arial" w:hAnsi="Arial" w:eastAsia="Arial" w:cs="Arial" w:hint="default"/>
        <w:color w:val="000000"/>
        <w:sz w:val="24"/>
      </w:rPr>
    </w:lvl>
    <w:lvl w:ilvl="4">
      <w:start w:val="1"/>
      <w:numFmt w:val="bullet"/>
      <w:lvlText w:val="•"/>
      <w:lvlJc w:val="start"/>
      <w:pPr>
        <w:ind w:left="788" w:hanging="283"/>
      </w:pPr>
      <w:rPr>
        <w:rFonts w:ascii="Calibri" w:hAnsi="Calibri" w:eastAsia="Calibri" w:cs="Calibri" w:hint="default"/>
        <w:color w:val="000000"/>
        <w:sz w:val="24"/>
      </w:rPr>
    </w:lvl>
    <w:lvl w:ilvl="5">
      <w:start w:val="1"/>
      <w:numFmt w:val="bullet"/>
      <w:lvlText w:val="•"/>
      <w:lvlJc w:val="start"/>
      <w:pPr>
        <w:ind w:left="788" w:hanging="283"/>
      </w:pPr>
      <w:rPr>
        <w:rFonts w:ascii="Calibri" w:hAnsi="Calibri" w:eastAsia="Calibri" w:cs="Calibri" w:hint="default"/>
        <w:color w:val="000000"/>
        <w:sz w:val="24"/>
      </w:rPr>
    </w:lvl>
    <w:lvl w:ilvl="6">
      <w:start w:val="1"/>
      <w:numFmt w:val="bullet"/>
      <w:lvlText w:val="•"/>
      <w:lvlJc w:val="start"/>
      <w:pPr>
        <w:ind w:left="335" w:hanging="227"/>
      </w:pPr>
      <w:rPr>
        <w:rFonts w:ascii="Calibri" w:hAnsi="Calibri" w:eastAsia="Calibri" w:cs="Calibri" w:hint="default"/>
        <w:color w:val="000000"/>
        <w:sz w:val="24"/>
      </w:rPr>
    </w:lvl>
    <w:lvl w:ilvl="7">
      <w:start w:val="1"/>
      <w:numFmt w:val="none"/>
      <w:lvlText w:val=""/>
      <w:lvlJc w:val="start"/>
      <w:pPr>
        <w:ind w:left="108" w:hanging="0"/>
      </w:pPr>
      <w:rPr>
        <w:rFonts w:ascii="Calibri" w:hAnsi="Calibri" w:eastAsia="Calibri" w:cs="Calibri" w:hint="default"/>
        <w:color w:val="000000"/>
        <w:sz w:val="24"/>
      </w:rPr>
    </w:lvl>
    <w:lvl w:ilvl="8">
      <w:start w:val="1"/>
      <w:numFmt w:val="none"/>
      <w:lvlText w:val=""/>
      <w:lvlJc w:val="start"/>
      <w:pPr>
        <w:ind w:left="108" w:hanging="0"/>
      </w:pPr>
      <w:rPr>
        <w:rFonts w:ascii="Calibri" w:hAnsi="Calibri" w:eastAsia="Calibri" w:cs="Calibri" w:hint="default"/>
        <w:color w:val="000000"/>
        <w:sz w:val="24"/>
      </w:rPr>
    </w:lvl>
  </w:abstractNum>
  <w:num w:numId="19">
    <w:abstractNumId w:val="13"/>
  </w:num>
  <w:num w:numId="18">
    <w:abstractNumId w:val="14"/>
  </w:num>
  <w:num w:numId="17">
    <w:abstractNumId w:val="0"/>
  </w:num>
  <w:num w:numId="16">
    <w:abstractNumId w:val="6"/>
  </w:num>
  <w:num w:numId="15">
    <w:abstractNumId w:val="4"/>
  </w:num>
  <w:num w:numId="14">
    <w:abstractNumId w:val="1"/>
  </w:num>
  <w:num w:numId="13">
    <w:abstractNumId w:val="8"/>
  </w:num>
  <w:num w:numId="12">
    <w:abstractNumId w:val="12"/>
  </w:num>
  <w:num w:numId="11">
    <w:abstractNumId w:val="5"/>
  </w:num>
  <w:num w:numId="10">
    <w:abstractNumId w:val="9"/>
  </w:num>
  <w:num w:numId="9">
    <w:abstractNumId w:val="10"/>
  </w:num>
  <w:num w:numId="8">
    <w:abstractNumId w:val="7"/>
  </w:num>
  <w:num w:numId="7">
    <w:abstractNumId w:val="14"/>
  </w:num>
  <w:num w:numId="6">
    <w:abstractNumId w:val="2"/>
  </w:num>
  <w:num w:numId="5">
    <w:abstractNumId w:val="2"/>
  </w:num>
  <w:num w:numId="4">
    <w:abstractNumId w:val="2"/>
  </w:num>
  <w:num w:numId="3">
    <w:abstractNumId w:val="11"/>
  </w:num>
  <w:num w:numId="2">
    <w:abstractNumId w:val="2"/>
  </w:num>
  <w:num w:numId="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compat>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