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policy@dhhs.vic.gov.au"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2.health.vic.gov.au/Api/downloadmedia/%7B95EDEB45-C044-4EE4-9811-177290833DAC%7D"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2.health.vic.gov.au/ageing-and-aged-care/home-and-community-care/hacc-program-for-younger-people/hacc-program-guidelines" TargetMode="External"/><Relationship Id="rId5" Type="http://schemas.openxmlformats.org/officeDocument/2006/relationships/theme" Target="theme/theme1.xml"/><Relationship Id="rId1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hyperlink" Target="http://providers.dffh.vic.gov.au/families-fairness-housing-health-activity-search"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686B6B1-8594-4F1B-A989-43A1E8E545E6}"/>
</file>

<file path=customXml/itemProps2.xml><?xml version="1.0" encoding="utf-8"?>
<ds:datastoreItem xmlns:ds="http://schemas.openxmlformats.org/officeDocument/2006/customXml" ds:itemID="{71DDD67D-24A5-4518-AE09-B39F45C9DB97}"/>
</file>

<file path=customXml/itemProps3.xml><?xml version="1.0" encoding="utf-8"?>
<ds:datastoreItem xmlns:ds="http://schemas.openxmlformats.org/officeDocument/2006/customXml" ds:itemID="{B7B3FDBB-963E-4701-BB28-D67E1768F8E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Small Rural - HACC-PYP 35030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Small Rural - HACC-PYP</w:t>
            </w:r>
          </w:p>
          <w:p>
            <w:pPr>
              <w:spacing w:line="560" w:lineRule="atLeast"/>
              <w:rPr>
                <w:rFonts w:ascii="Arial" w:hAnsi="Arial" w:eastAsia="Arial" w:cs="Arial"/>
                <w:color w:val="201547"/>
                <w:sz w:val="44"/>
              </w:rPr>
            </w:pPr>
            <w:r>
              <w:rPr>
                <w:rFonts w:ascii="Arial" w:hAnsi="Arial" w:eastAsia="Arial" w:cs="Arial"/>
                <w:color w:val="201547"/>
                <w:sz w:val="44"/>
              </w:rPr>
              <w:t>35030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Small Rural Services</w:t>
            </w:r>
          </w:p>
          <w:p>
            <w:pPr>
              <w:spacing w:after="120"/>
              <w:rPr>
                <w:rFonts w:ascii="Arial" w:hAnsi="Arial" w:eastAsia="Arial" w:cs="Arial"/>
                <w:color w:val="201547"/>
                <w:sz w:val="28"/>
              </w:rPr>
            </w:pPr>
            <w:r>
              <w:rPr>
                <w:rFonts w:ascii="Arial" w:hAnsi="Arial" w:eastAsia="Arial" w:cs="Arial"/>
                <w:color w:val="201547"/>
                <w:sz w:val="28"/>
              </w:rPr>
              <w:t>Output: SRS - Home and Community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Home and Community Care Program for Younger People (HACC-PYP) aims to provide an integrated range of basic maintenance and support services to eligible clients to:</w:t>
      </w:r>
      <w:r>
        <w:br/>
      </w:r>
      <w:r>
        <w:rPr>
          <w:rFonts w:ascii="Arial" w:hAnsi="Arial" w:eastAsia="Arial" w:cs="Arial"/>
          <w:color w:val="000000"/>
          <w:sz w:val="20"/>
        </w:rPr>
        <w:t xml:space="preserve">• improve and maintain the client’s independence and capacity to live safely at home and participate in community activities and </w:t>
      </w:r>
      <w:r>
        <w:br/>
      </w:r>
      <w:r>
        <w:rPr>
          <w:rFonts w:ascii="Arial" w:hAnsi="Arial" w:eastAsia="Arial" w:cs="Arial"/>
          <w:color w:val="000000"/>
          <w:sz w:val="20"/>
        </w:rPr>
        <w:t xml:space="preserve">• strengthen the capacity of the client’s carer to maintain their care role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HACC-PYP services provided through Small Rural Health Services can include the following:</w:t>
      </w:r>
      <w:r>
        <w:br/>
      </w:r>
      <w:r>
        <w:rPr>
          <w:rFonts w:ascii="Arial" w:hAnsi="Arial" w:eastAsia="Arial" w:cs="Arial"/>
          <w:color w:val="000000"/>
          <w:sz w:val="20"/>
        </w:rPr>
        <w:t>• HACC-PYP Access and Support</w:t>
      </w:r>
      <w:r>
        <w:br/>
      </w:r>
      <w:r>
        <w:rPr>
          <w:rFonts w:ascii="Arial" w:hAnsi="Arial" w:eastAsia="Arial" w:cs="Arial"/>
          <w:color w:val="000000"/>
          <w:sz w:val="20"/>
        </w:rPr>
        <w:t>• HACC-PYP Allied Health</w:t>
      </w:r>
      <w:r>
        <w:br/>
      </w:r>
      <w:r>
        <w:rPr>
          <w:rFonts w:ascii="Arial" w:hAnsi="Arial" w:eastAsia="Arial" w:cs="Arial"/>
          <w:color w:val="000000"/>
          <w:sz w:val="20"/>
        </w:rPr>
        <w:t>• HACC-PYP Assessment</w:t>
      </w:r>
      <w:r>
        <w:br/>
      </w:r>
      <w:r>
        <w:rPr>
          <w:rFonts w:ascii="Arial" w:hAnsi="Arial" w:eastAsia="Arial" w:cs="Arial"/>
          <w:color w:val="000000"/>
          <w:sz w:val="20"/>
        </w:rPr>
        <w:t>• HACC-PYP Delivered Meals</w:t>
      </w:r>
      <w:r>
        <w:br/>
      </w:r>
      <w:r>
        <w:rPr>
          <w:rFonts w:ascii="Arial" w:hAnsi="Arial" w:eastAsia="Arial" w:cs="Arial"/>
          <w:color w:val="000000"/>
          <w:sz w:val="20"/>
        </w:rPr>
        <w:t>• HACC-PYP Community Care</w:t>
      </w:r>
      <w:r>
        <w:br/>
      </w:r>
      <w:r>
        <w:rPr>
          <w:rFonts w:ascii="Arial" w:hAnsi="Arial" w:eastAsia="Arial" w:cs="Arial"/>
          <w:color w:val="000000"/>
          <w:sz w:val="20"/>
        </w:rPr>
        <w:t>• HACC-PYP Flexible Service Response</w:t>
      </w:r>
      <w:r>
        <w:br/>
      </w:r>
      <w:r>
        <w:rPr>
          <w:rFonts w:ascii="Arial" w:hAnsi="Arial" w:eastAsia="Arial" w:cs="Arial"/>
          <w:color w:val="000000"/>
          <w:sz w:val="20"/>
        </w:rPr>
        <w:t>• HACC-PYP Nursing</w:t>
      </w:r>
      <w:r>
        <w:br/>
      </w:r>
      <w:r>
        <w:rPr>
          <w:rFonts w:ascii="Arial" w:hAnsi="Arial" w:eastAsia="Arial" w:cs="Arial"/>
          <w:color w:val="000000"/>
          <w:sz w:val="20"/>
        </w:rPr>
        <w:t>• HACC-PYP Planned Activity Group</w:t>
      </w:r>
      <w:r>
        <w:br/>
      </w:r>
      <w:r>
        <w:rPr>
          <w:rFonts w:ascii="Arial" w:hAnsi="Arial" w:eastAsia="Arial" w:cs="Arial"/>
          <w:color w:val="000000"/>
          <w:sz w:val="20"/>
        </w:rPr>
        <w:t>• HACC-PYP Property Maintenance</w:t>
      </w:r>
      <w:r>
        <w:br/>
      </w:r>
      <w:r>
        <w:rPr>
          <w:rFonts w:ascii="Arial" w:hAnsi="Arial" w:eastAsia="Arial" w:cs="Arial"/>
          <w:color w:val="000000"/>
          <w:sz w:val="20"/>
        </w:rPr>
        <w:t>• HACC-PYP Service System Resourcing</w:t>
      </w:r>
      <w:r>
        <w:br/>
      </w:r>
      <w:r>
        <w:rPr>
          <w:rFonts w:ascii="Arial" w:hAnsi="Arial" w:eastAsia="Arial" w:cs="Arial"/>
          <w:color w:val="000000"/>
          <w:sz w:val="20"/>
        </w:rPr>
        <w:t>• HACC-PYP Volunteer Coordination</w:t>
      </w:r>
      <w:r>
        <w:br/>
      </w:r>
      <w:r>
        <w:rPr>
          <w:rFonts w:ascii="Arial" w:hAnsi="Arial" w:eastAsia="Arial" w:cs="Arial"/>
          <w:color w:val="000000"/>
          <w:sz w:val="20"/>
        </w:rPr>
        <w:t>• HACC-PYP Volunteer Coordination - Other</w:t>
      </w:r>
      <w:r>
        <w:br/>
      </w:r>
      <w:r>
        <w:rPr>
          <w:rFonts w:ascii="Arial" w:hAnsi="Arial" w:eastAsia="Arial" w:cs="Arial"/>
          <w:color w:val="000000"/>
          <w:sz w:val="20"/>
        </w:rPr>
        <w:t>Please refer to the activity descriptions of the above services for an explanation of the expected deliverables and reporting requirement.</w:t>
      </w:r>
      <w:r>
        <w:br/>
      </w:r>
      <w:r>
        <w:rPr>
          <w:rFonts w:ascii="Arial" w:hAnsi="Arial" w:eastAsia="Arial" w:cs="Arial"/>
          <w:color w:val="000000"/>
          <w:sz w:val="20"/>
        </w:rPr>
        <w:t>The department will continue to monitor service provision, and where necessary, may amend service specifications or funding allocations based on community needs or in response to changes to government policy and priorities</w:t>
      </w:r>
      <w:r>
        <w:br/>
      </w:r>
      <w:r>
        <w:rPr>
          <w:rFonts w:ascii="Arial" w:hAnsi="Arial" w:eastAsia="Arial" w:cs="Arial"/>
          <w:color w:val="000000"/>
          <w:sz w:val="20"/>
        </w:rPr>
        <w:t xml:space="preserve">Compliance with Quality Standards </w:t>
      </w:r>
      <w:r>
        <w:br/>
      </w:r>
      <w:r>
        <w:rPr>
          <w:rFonts w:ascii="Arial" w:hAnsi="Arial" w:eastAsia="Arial" w:cs="Arial"/>
          <w:color w:val="000000"/>
          <w:sz w:val="20"/>
        </w:rPr>
        <w:t xml:space="preserve">o Organisations that only receive HACC-PYP funding are required to meet the Home Care Common Standards </w:t>
      </w:r>
      <w:r>
        <w:br/>
      </w:r>
      <w:r>
        <w:rPr>
          <w:rFonts w:ascii="Arial" w:hAnsi="Arial" w:eastAsia="Arial" w:cs="Arial"/>
          <w:color w:val="000000"/>
          <w:sz w:val="20"/>
        </w:rPr>
        <w:t xml:space="preserve">o Organisations that are also funded by the Commonwealth Home Support Programme (CHSP) are subject to review against the Aged Care Quality Standards undertaken by the Aged Care Quality and Safety Commission.  Quality reviews for CHSP satisfy the HACC-PYP quality requirements </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HACC-PYP target group is people under 65 years of age who experience difficulties performing the activities of daily living and their carers and Aboriginal and Torres Strait Islanders people under 50 years of 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The Victorian HACC Program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&lt;https://www2.health.vic.gov.au/ageing-and-aged-care/home-and-community-care/hacc-program-for-younger-people/hacc-program-guidelines&gt;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Framework for assessment in the HACC program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&lt;https://www2.health.vic.gov.au/Api/downloadmedia/%7B95EDEB45-C044-4EE4-9811-177290833DAC%7D&gt;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Provide a service activity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report on the outcomes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Submit an Annual Service Activity Report as required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Annual Service Activity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narrative report submitted annual to describe the outcomes of programs delivered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Provide a service activity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hours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record the hours of community care provided to individual clients and carers and/or the time the worker has worked - Worker time, hours of service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of direct service to individual clients or carers as relevant</w:t>
            </w:r>
            <w:r>
              <w:br/>
            </w:r>
            <w:r>
              <w:rPr>
                <w:rFonts w:ascii="Arial" w:hAnsi="Arial" w:eastAsia="Arial" w:cs="Arial"/>
                <w:color w:val="000000"/>
                <w:sz w:val="20"/>
              </w:rPr>
              <w:t>Count the number of hours the worker has worked as relevant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Support Services (VCSS)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hour of service comprises time spent face to face and indirect time spent on behalf of the client or carer such as phone calls and time spent writing case notes or support plans.</w:t>
            </w:r>
            <w:r>
              <w:br/>
            </w:r>
            <w:r>
              <w:rPr>
                <w:rFonts w:ascii="Arial" w:hAnsi="Arial" w:eastAsia="Arial" w:cs="Arial"/>
                <w:color w:val="000000"/>
                <w:sz w:val="20"/>
              </w:rPr>
              <w:t>Hours worked includes all hours worked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Number of trips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record the number of trips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trips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Support Services (VCSS)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trip is from the point of picking a client up to when the client is dropped off.  Each trip is one way, a return trip counts as 2</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5: Number of activities provided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record the number the activities provided include events/ sessions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events / sessions / activities – do not report hours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Support Services (VCSS)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event / session / activity includes newsletter, training sessions, etc</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6: Number of meals / meal vouchers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record the number of meals or vouchers provided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meals and/or meal vouchers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Support Services (VCSS)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meal includes:</w:t>
            </w:r>
            <w:r>
              <w:br/>
            </w:r>
            <w:r>
              <w:rPr>
                <w:rFonts w:ascii="Arial" w:hAnsi="Arial" w:eastAsia="Arial" w:cs="Arial"/>
                <w:color w:val="000000"/>
                <w:sz w:val="20"/>
              </w:rPr>
              <w:t>• A meal delivered to a person’s home</w:t>
            </w:r>
            <w:r>
              <w:br/>
            </w:r>
            <w:r>
              <w:rPr>
                <w:rFonts w:ascii="Arial" w:hAnsi="Arial" w:eastAsia="Arial" w:cs="Arial"/>
                <w:color w:val="000000"/>
                <w:sz w:val="20"/>
              </w:rPr>
              <w:t>• A meal provided in a community setting</w:t>
            </w:r>
            <w:r>
              <w:br/>
            </w:r>
            <w:r>
              <w:rPr>
                <w:rFonts w:ascii="Arial" w:hAnsi="Arial" w:eastAsia="Arial" w:cs="Arial"/>
                <w:color w:val="000000"/>
                <w:sz w:val="20"/>
              </w:rPr>
              <w:t>• A meal voucher provided to a client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HACC-PYP Fee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Quantitative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Community Support Services (VCSS) minimum dataset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Victorian Community Support Services (VCSS) Minimum Dataset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HACC-PYP Annual Service Activity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Qualitative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000000"/>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Service Agreement Strategy and Practice</w:t>
            </w:r>
            <w:r>
              <w:rPr>
                <w:rFonts w:ascii="Arial" w:hAnsi="Arial" w:eastAsia="Arial" w:cs="Arial"/>
                <w:color w:val="000000"/>
                <w:sz w:val="24"/>
              </w:rPr>
              <w:t xml:space="preserve"> </w:t>
            </w:r>
            <w:hyperlink r:id="rId13" w:tgtFrame="_blank" w:history="1">
              <w:r>
                <w:rPr>
                  <w:rFonts w:ascii="Arial" w:hAnsi="Arial" w:eastAsia="Arial" w:cs="Arial"/>
                  <w:color w:val="3366FF"/>
                  <w:sz w:val="24"/>
                </w:rPr>
                <w:t>&lt;sapolicy@dhhs.vic.gov.au</w:t>
              </w:r>
            </w:hyperlink>
            <w:r>
              <w:rPr>
                <w:rFonts w:ascii="Arial" w:hAnsi="Arial" w:eastAsia="Arial" w:cs="Arial"/>
                <w:color w:val="000000"/>
                <w:sz w:val="24"/>
              </w:rPr>
              <w:t>&gt;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October 2021</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11" w:type="dxa"/>
      <w:tblLayout w:type="fixed"/>
      <w:tblCellMar>
        <w:left w:w="0" w:type="dxa"/>
        <w:right w:w="0" w:type="dxa"/>
      </w:tblCellMar>
    </w:tblPr>
    <w:tblGrid>
      <w:gridCol w:w="3185"/>
      <w:gridCol w:w="3473"/>
      <w:gridCol w:w="3474"/>
    </w:tblGrid>
    <w:tr>
      <w:tc>
        <w:tcPr>
          <w:tcW w:w="3185"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1" w:type="dxa"/>
      <w:tblLayout w:type="fixed"/>
      <w:tblCellMar>
        <w:left w:w="0" w:type="dxa"/>
        <w:right w:w="0" w:type="dxa"/>
      </w:tblCellMar>
    </w:tblPr>
    <w:tblGrid>
      <w:gridCol w:w="3185"/>
      <w:gridCol w:w="3473"/>
      <w:gridCol w:w="3474"/>
    </w:tblGrid>
    <w:tr>
      <w:tc>
        <w:tcPr>
          <w:tcW w:w="3185"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Small Rural Services 35030 Small Rural - HACC-PYP</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