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Medically supervised injecting room 34308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www.legislation.vic.gov.au/in-force/acts/drugs-poisons-and-controlled-substances-act-1981/137" TargetMode="External"/>
<Relationship Id="rId12" Type="http://schemas.openxmlformats.org/officeDocument/2006/relationships/hyperlink" Target="https://www.health.vic.gov.au/policy-and-funding-guidelines-for-health-services" TargetMode="External"/>
<Relationship Id="rId13" Type="http://schemas.openxmlformats.org/officeDocument/2006/relationships/hyperlink" Target="file:/F:/Oracle/Middleware/Oracle_Home/user_projects/domains/bi" TargetMode="External"/>
<Relationship Id="rId14" Type="http://schemas.openxmlformats.org/officeDocument/2006/relationships/hyperlink" Target="http://providers.dffh.vic.gov.au/families-fairness-housing-health-activity-search" TargetMode="External"/>
<Relationship Id="rId15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728"/>
        </w:tabs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jc w:val="center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Medically supervised injecting room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34308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healthy and well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Drug Services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Drug Treatment And Rehabilitation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provide access to a safer setting for people to inject drugs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deliver a supervised health setting for people to inject drugs at the Medically Supervised Injecting Room (MSIR). The MSIR provides a gateway for people who inject drugs to access health and social care, and a pathway to treatment and rehabilitation  consistent with the objectives outlined in Part IIA of the Drugs, Poisons and Controlled Substances Act 1981 (the Act) 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at people aged 18 years and over, who inject drugs and meet eligibility requirements.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AOD must be, or able to be accredited within generic accreditation frameworks by a certified entity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Part IIA Division 2 (55C –55JA)  of the Drugs, Poisons and Controlled Substances Act 1981 (the Act)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&lt;https://www.legislation.vic.gov.au/in-force/acts/drugs-poisons-and-controlled-substances-act-1981/137&gt;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DH policy and funding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&lt;https://www.health.vic.gov.au/policy-and-funding-guidelines-for-health-services&gt;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3" w:tgtFrame="_blank" w:history="1">
        <w:r>
          <w:rPr>
            <w:rFonts w:ascii="Arial" w:hAnsi="Arial" w:eastAsia="Arial" w:cs="Arial"/>
            <w:color w:val="3366FF"/>
            <w:sz w:val="20"/>
          </w:rPr>
          <w:t>See Schedule 5 of the Service Agreement for program requirements not for wider distribution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Quarterly report against service activity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MSIR Operations through submission of: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 MSIR Operations Annual Plan      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 MSIR Operations Quarterly report submitted against the Performance Monitoring Framework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 MSIR Operations Annual report: a summary of content of the four quarterly reports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number of reports submitted.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MSIR Operations Quarterly report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MSIR Operations Annual Plan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MSIR Operations Annual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MSIR Operations Quarterly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MSIR Operations Annual Plan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Annual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MSIR Operations Annual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Annual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</w:tblPr>
      <w:tblGrid>
        <w:gridCol w:w="10312"/>
      </w:tblGrid>
      <w:tr>
        <w:trPr>
          <w:cantSplit/>
        </w:trPr>
        <w:tc>
          <w:tcPr>
            <w:tcW w:w="1031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hAnsi="Arial" w:eastAsia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</w:t>
            </w:r>
            <w:r>
              <w:rPr>
                <w:rFonts w:ascii="Arial" w:hAnsi="Arial" w:eastAsia="Arial" w:cs="Arial"/>
                <w:color w:val="000000"/>
                <w:sz w:val="16"/>
              </w:rPr>
              <w:t>November 2024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2653-0937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4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left" w:pos="318"/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</w:t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Drug Services 34308 Medically supervised injecting room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