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Needle and Syringe Program 34070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www2.health.vic.gov.au/about/publications/researchandreports/Victorian-Needle-and-Syringe-Program-Operating-Policy-and-Guidelines" TargetMode="External"/>
<Relationship Id="rId12" Type="http://schemas.openxmlformats.org/officeDocument/2006/relationships/hyperlink" Target="https://www.health.vic.gov.au/policy-and-funding-guidelines-for-health-services" TargetMode="External"/>
<Relationship Id="rId13" Type="http://schemas.openxmlformats.org/officeDocument/2006/relationships/hyperlink" Target="https://www.health.vic.gov.au/publications/victorian-take-home-naloxone-program-operating-policy-and-guidelines" TargetMode="External"/>
<Relationship Id="rId14" Type="http://schemas.openxmlformats.org/officeDocument/2006/relationships/hyperlink" Target="https://www.health.vic.gov.au/aod-service-standards-guidelines/other-service-guidelines" TargetMode="External"/>
<Relationship Id="rId15" Type="http://schemas.openxmlformats.org/officeDocument/2006/relationships/hyperlink" Target="https://www.cpmanual.vic.gov.au/advice-and-protocols/protocols/education-medical/drug-treatment-services" TargetMode="External"/>
<Relationship Id="rId16" Type="http://schemas.openxmlformats.org/officeDocument/2006/relationships/hyperlink" Target="http://providers.dffh.vic.gov.au/families-fairness-housing-health-activity-search" TargetMode="External"/>
<Relationship Id="rId17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728"/>
        </w:tabs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jc w:val="center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Needle and Syringe Program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34070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connected to culture and community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Drug Services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Drug Prevention And Control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provide access to services through the Victorian Needle and Syringe Program (NSP) that minimise the spread and sexually transmissible infections (STIs) of blood-borne viruses such as Human Immunodeficiency Virus (HIV), and Hepatitis B and C among people who inject drugs.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deliver services to people who inject drugs including, but not limited to: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access to sterile injecting equipment </w:t>
      </w:r>
      <w:r>
        <w:br/>
      </w:r>
      <w:r>
        <w:rPr>
          <w:rFonts w:ascii="Arial" w:hAnsi="Arial" w:eastAsia="Arial" w:cs="Arial"/>
          <w:color w:val="000000"/>
          <w:sz w:val="20"/>
        </w:rPr>
        <w:t>• promote and provide access to safe disposal of injecting equipment</w:t>
      </w:r>
      <w:r>
        <w:br/>
      </w:r>
      <w:r>
        <w:rPr>
          <w:rFonts w:ascii="Arial" w:hAnsi="Arial" w:eastAsia="Arial" w:cs="Arial"/>
          <w:color w:val="000000"/>
          <w:sz w:val="20"/>
        </w:rPr>
        <w:t>• promote and provide access to safer injecting practices</w:t>
      </w:r>
      <w:r>
        <w:br/>
      </w:r>
      <w:r>
        <w:rPr>
          <w:rFonts w:ascii="Arial" w:hAnsi="Arial" w:eastAsia="Arial" w:cs="Arial"/>
          <w:color w:val="000000"/>
          <w:sz w:val="20"/>
        </w:rPr>
        <w:t>• provide information and access to supply of Naloxone, through Victoria’s Take-Home Naloxone Program (as required).</w:t>
      </w:r>
      <w:r>
        <w:br/>
      </w:r>
      <w:r>
        <w:rPr>
          <w:rFonts w:ascii="Arial" w:hAnsi="Arial" w:eastAsia="Arial" w:cs="Arial"/>
          <w:color w:val="000000"/>
          <w:sz w:val="20"/>
        </w:rPr>
        <w:t>• promote and provide access to sexual health products</w:t>
      </w:r>
      <w:r>
        <w:br/>
      </w:r>
      <w:r>
        <w:rPr>
          <w:rFonts w:ascii="Arial" w:hAnsi="Arial" w:eastAsia="Arial" w:cs="Arial"/>
          <w:color w:val="000000"/>
          <w:sz w:val="20"/>
        </w:rPr>
        <w:t>• education and referral services to people who inject drugs.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at is people who use drugs, including people who inject drugs in Victoria.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Needle and Syringe Program Framework and Practice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&lt;https://www2.health.vic.gov.au/about/publications/researchandreports/Victorian-Needle-and-Syringe-Program-Operating-Policy-and-Guidelines&gt;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Policy and funding guidelines for health services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&lt;https://www.health.vic.gov.au/policy-and-funding-guidelines-for-health-services&gt;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3" w:tgtFrame="_blank" w:history="1">
        <w:r>
          <w:rPr>
            <w:rFonts w:ascii="Arial" w:hAnsi="Arial" w:eastAsia="Arial" w:cs="Arial"/>
            <w:color w:val="3366FF"/>
            <w:sz w:val="20"/>
          </w:rPr>
          <w:t>Victorian Take-Home Naloxone Program Operating Policy and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&lt;https://www.health.vic.gov.au/publications/victorian-take-home-naloxone-program-operating-policy-and-guidelines&gt;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4" w:tgtFrame="_blank" w:history="1">
        <w:r>
          <w:rPr>
            <w:rFonts w:ascii="Arial" w:hAnsi="Arial" w:eastAsia="Arial" w:cs="Arial"/>
            <w:color w:val="3366FF"/>
            <w:sz w:val="20"/>
          </w:rPr>
          <w:t>Clinical treatment guidelines for Methamphetamine dependence and treatment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&lt;https://www.health.vic.gov.au/aod-service-standards-guidelines/other-service-guidelines&gt;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5" w:tgtFrame="_blank" w:history="1">
        <w:r>
          <w:rPr>
            <w:rFonts w:ascii="Arial" w:hAnsi="Arial" w:eastAsia="Arial" w:cs="Arial"/>
            <w:color w:val="3366FF"/>
            <w:sz w:val="20"/>
          </w:rPr>
          <w:t>Protocol between Drug Treatment Services and Child Protection for Working with Parents with Alcohol and Other Drug Issues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&lt;https://www.cpmanual.vic.gov.au/advice-and-protocols/protocols/education-medical/drug-treatment-services&gt;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contacts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contacts delivered through the NSP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total number of contacts delivered to people who use drugs. including people who inject drugs during the reporting.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Needle and Syringe Program Client Survey data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Contact is referred to as a contact between a client and service provider which results in a dated entry being made in a client record. Contact can be face to face (fixed site or outreach/mobile), or by telephone.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Needle and Syringe Program Client Survey data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NSP Portal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Needle and Syringe Program portal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</w:tblPr>
      <w:tblGrid>
        <w:gridCol w:w="10312"/>
      </w:tblGrid>
      <w:tr>
        <w:trPr>
          <w:cantSplit/>
        </w:trPr>
        <w:tc>
          <w:tcPr>
            <w:tcW w:w="1031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hAnsi="Arial" w:eastAsia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</w:t>
            </w:r>
            <w:r>
              <w:rPr>
                <w:rFonts w:ascii="Arial" w:hAnsi="Arial" w:eastAsia="Arial" w:cs="Arial"/>
                <w:color w:val="000000"/>
                <w:sz w:val="16"/>
              </w:rPr>
              <w:t>April 2026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2653-0937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6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left" w:pos="318"/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</w:t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Drug Services 34070 Needle and Syringe Program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