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Flexible Funding 31437</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providers.dffh.vic.gov.au/strategic-framework-family-services-pdf" TargetMode="External"/>
<Relationship Id="rId12" Type="http://schemas.openxmlformats.org/officeDocument/2006/relationships/hyperlink" Target="https://www.dffh.vic.gov.au/publications/best-interests-case-practice-model-summary-guide" TargetMode="External"/>
<Relationship Id="rId13" Type="http://schemas.openxmlformats.org/officeDocument/2006/relationships/hyperlink" Target="https://providers.dffh.vic.gov.au/best-interests-framework-vulnerable-children-and-youth-pdf" TargetMode="External"/>
<Relationship Id="rId14" Type="http://schemas.openxmlformats.org/officeDocument/2006/relationships/hyperlink" Target="https://providers.dffh.vic.gov.au/human-services-standards" TargetMode="External"/>
<Relationship Id="rId15" Type="http://schemas.openxmlformats.org/officeDocument/2006/relationships/hyperlink" Target="https://providers.dffh.vic.gov.au/program-requirements-family-and-early-parenting-services-victoria-word" TargetMode="External"/>
<Relationship Id="rId16" Type="http://schemas.openxmlformats.org/officeDocument/2006/relationships/hyperlink" Target="https://providers.dffh.vic.gov.au/children-youth-and-families" TargetMode="External"/>
<Relationship Id="rId17" Type="http://schemas.openxmlformats.org/officeDocument/2006/relationships/hyperlink" Target="http://providers.dffh.vic.gov.au/families-fairness-housing-health-activity-search" TargetMode="External"/>
<Relationship Id="rId18"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Flexible Funding</w:t>
            </w:r>
          </w:p>
          <w:p>
            <w:pPr>
              <w:spacing w:line="560" w:lineRule="atLeast"/>
              <w:rPr>
                <w:rFonts w:ascii="Arial" w:hAnsi="Arial" w:eastAsia="Arial" w:cs="Arial"/>
                <w:color w:val="201547"/>
                <w:sz w:val="44"/>
              </w:rPr>
            </w:pPr>
            <w:r>
              <w:rPr>
                <w:rFonts w:ascii="Arial" w:hAnsi="Arial" w:eastAsia="Arial" w:cs="Arial"/>
                <w:color w:val="201547"/>
                <w:sz w:val="44"/>
              </w:rPr>
              <w:t>31437</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have capabilities to participate</w:t>
            </w:r>
          </w:p>
          <w:p>
            <w:pPr>
              <w:spacing w:after="120"/>
              <w:rPr>
                <w:rFonts w:ascii="Arial" w:hAnsi="Arial" w:eastAsia="Arial" w:cs="Arial"/>
                <w:color w:val="201547"/>
                <w:sz w:val="28"/>
              </w:rPr>
            </w:pPr>
            <w:r>
              <w:rPr>
                <w:rFonts w:ascii="Arial" w:hAnsi="Arial" w:eastAsia="Arial" w:cs="Arial"/>
                <w:color w:val="201547"/>
                <w:sz w:val="28"/>
              </w:rPr>
              <w:t>Output group: Child Protection and Family Services</w:t>
            </w:r>
          </w:p>
          <w:p>
            <w:pPr>
              <w:spacing w:after="120"/>
              <w:rPr>
                <w:rFonts w:ascii="Arial" w:hAnsi="Arial" w:eastAsia="Arial" w:cs="Arial"/>
                <w:color w:val="201547"/>
                <w:sz w:val="28"/>
              </w:rPr>
            </w:pPr>
            <w:r>
              <w:rPr>
                <w:rFonts w:ascii="Arial" w:hAnsi="Arial" w:eastAsia="Arial" w:cs="Arial"/>
                <w:color w:val="201547"/>
                <w:sz w:val="28"/>
              </w:rPr>
              <w:t>Output: Family And Community Services</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Flexible Funding is available to children and families receiving support through child and family services. Flexible Funding should enable families to make positive and enduring change that will promote the safety and wellbeing of their children and young people.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Flexible Funding will support the implementation of individualised case plans for children and families.</w:t>
      </w:r>
      <w:r>
        <w:br/>
      </w:r>
      <w:r>
        <w:rPr>
          <w:rFonts w:ascii="Arial" w:hAnsi="Arial" w:eastAsia="Arial" w:cs="Arial"/>
          <w:color w:val="000000"/>
          <w:sz w:val="20"/>
        </w:rPr>
        <w:t>Flexible Funding can provide practical support and services to minimise children, young people and families requiring more intensive intervention. Funding should enable families to make positive and enduring change that will increase parenting capacity and promote the safety and wellbeing of their children and young people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Flexible Funding is available to vulnerable children, young people and their families (inclusive of unborn, infants, children, young people, mothers, fathers, parents, siblings, carers, and carer families) accessing support through Intake and Access, Individual Child and Family Support and Specialised Interventions.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numPr>
          <w:ilvl w:val="0"/>
          <w:numId w:val="7"/>
        </w:numPr>
        <w:spacing w:after="40" w:line="270" w:lineRule="atLeast"/>
        <w:rPr>
          <w:rFonts w:ascii="Arial" w:hAnsi="Arial" w:eastAsia="Arial" w:cs="Arial"/>
          <w:color w:val="000000"/>
          <w:sz w:val="20"/>
        </w:rPr>
      </w:pPr>
      <w:r>
        <w:rPr>
          <w:rFonts w:ascii="Arial" w:hAnsi="Arial" w:eastAsia="Arial" w:cs="Arial"/>
          <w:color w:val="000000"/>
          <w:sz w:val="20"/>
        </w:rPr>
        <w:t>Registration under the Children, Youth and Families Act 2005</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A Strategic Framework for Family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&lt;https://providers.dffh.vic.gov.au/strategic-framework-family-services-pdf&gt;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Best Interests Case Practice Model - Summary Guide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&lt;https://www.dffh.vic.gov.au/publications/best-interests-case-practice-model-summary-guide&gt;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The Best Interests Framework for Vulnerable Children and Youth</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&lt;https://providers.dffh.vic.gov.au/best-interests-framework-vulnerable-children-and-youth-pdf&gt;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Social Services Standards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Program requirements for family services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&lt;https://providers.dffh.vic.gov.au/program-requirements-family-and-early-parenting-services-victoria-word&gt;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Child and family services transfer to Aboriginal Community Controlled Organisations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&lt;https://providers.dffh.vic.gov.au/children-youth-and-families&gt;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Amount of Flexible Funding expended in the reporting period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total expenditure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total flexible funding expended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Number of packages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packages delivered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total packages provided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Flexible funding acquittal template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Flexible funding acquittal template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Acquittal to local Adviser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Half-yearly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March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7"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Child Protection and Family Services 31437 Flexible Funding</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