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Residential Care 31415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s://providers.dffh.vic.gov.au/improving-safety-children-and-young-people-residential-care-overnight-safety-plan-word" TargetMode="External"/>
<Relationship Id="rId13" Type="http://schemas.openxmlformats.org/officeDocument/2006/relationships/hyperlink" Target="https://providers.dffh.vic.gov.au/program-requirements-residential-care-victoria-oct-2016-word" TargetMode="External"/>
<Relationship Id="rId14" Type="http://schemas.openxmlformats.org/officeDocument/2006/relationships/hyperlink" Target="https://providers.dffh.vic.gov.au/program-requirements-delivery-therapeutic-residential-care-victoria-word" TargetMode="External"/>
<Relationship Id="rId15" Type="http://schemas.openxmlformats.org/officeDocument/2006/relationships/hyperlink" Target="https://providers.dffh.vic.gov.au/labour-hire-procedures%3e" TargetMode="External"/>
<Relationship Id="rId16" Type="http://schemas.openxmlformats.org/officeDocument/2006/relationships/hyperlink" Target="http://www.cpmanual.vic.gov.au/policies-and-procedures/out-home-care/leaving-care" TargetMode="External"/>
<Relationship Id="rId17" Type="http://schemas.openxmlformats.org/officeDocument/2006/relationships/hyperlink" Target="https://providers.dffh.vic.gov.au/program-requirements-out-home-care-services" TargetMode="External"/>
<Relationship Id="rId18" Type="http://schemas.openxmlformats.org/officeDocument/2006/relationships/hyperlink" Target="https://providers.dffh.vic.gov.au/minimum-qualification-requirements-residential-care-workers-victoria-word" TargetMode="External"/>
<Relationship Id="rId19" Type="http://schemas.openxmlformats.org/officeDocument/2006/relationships/hyperlink" Target="http://providers.dffh.vic.gov.au/families-fairness-housing-health-activity-search" TargetMode="External"/>
<Relationship Id="rId20"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Residential Care</w:t>
            </w:r>
          </w:p>
          <w:p>
            <w:pPr>
              <w:spacing w:line="560" w:lineRule="atLeast"/>
              <w:rPr>
                <w:rFonts w:ascii="Arial" w:hAnsi="Arial" w:eastAsia="Arial" w:cs="Arial"/>
                <w:color w:val="201547"/>
                <w:sz w:val="44"/>
              </w:rPr>
            </w:pPr>
            <w:r>
              <w:rPr>
                <w:rFonts w:ascii="Arial" w:hAnsi="Arial" w:eastAsia="Arial" w:cs="Arial"/>
                <w:color w:val="201547"/>
                <w:sz w:val="44"/>
              </w:rPr>
              <w:t>31415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residential care services to children and young people in out-of-home care who are unable to be placed in home-based care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Residential care services in community-based houses are provided to children and young people in out-of-home care. Children and young people who live in residential care are often those who have experienced the greatest level of trauma and who, therefore, require the most expert therapeutic care and support.Placement in residential care is based on assessment of each individual’s needs. This includes consideration of alternative placement in home-based care, and in particular kinship care, wherever possible.</w:t>
      </w:r>
      <w:r>
        <w:br/>
      </w:r>
      <w:r>
        <w:br/>
      </w:r>
      <w:r>
        <w:rPr>
          <w:rFonts w:ascii="Arial" w:hAnsi="Arial" w:eastAsia="Arial" w:cs="Arial"/>
          <w:color w:val="000000"/>
          <w:sz w:val="20"/>
        </w:rPr>
        <w:t>Therapeutic residential care</w:t>
      </w:r>
      <w:r>
        <w:br/>
      </w:r>
      <w:r>
        <w:rPr>
          <w:rFonts w:ascii="Arial" w:hAnsi="Arial" w:eastAsia="Arial" w:cs="Arial"/>
          <w:color w:val="000000"/>
          <w:sz w:val="20"/>
        </w:rPr>
        <w:t>Therapeutic residential care is a contemporary model of residential care informed by an understanding of trauma, attachment and child development.A therapeutic loading, in addition to residential care base funding, is allocated for all therapeutic placements. The therapeutic loading provides for additional staffing, including a therapeutic specialist as outlined in the program requirements for the delivery of therapeutic care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children and young people or larger sibling groups in out-of-home care,  who are subject to current protective involvement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Improving safety for children and young people in residential care Overnight Safety Plan Template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&lt;https://providers.dffh.vic.gov.au/improving-safety-children-and-young-people-residential-care-overnight-safety-plan-word&gt;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Program Requirements for Residential Care Services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&lt;https://providers.dffh.vic.gov.au/program-requirements-residential-care-victoria-oct-2016-word&gt;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Program requirements for the delivery of therapeutic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&lt;https://providers.dffh.vic.gov.au/program-requirements-delivery-therapeutic-residential-care-victoria-word&gt;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Labour Hire Procedures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&lt;https://providers.dffh.vic.gov.au/labour-hire-procedures&gt;&gt;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Minimum Qualification Requirements for Residential Care Workers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&lt;https://providers.dffh.vic.gov.au/minimum-qualification-requirements-residential-care-workers-victoria-word&gt;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daily average number of children and young people placed in residential care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 days in the reporting period, divided by number of days in the reporting period.</w:t>
            </w:r>
            <w:r>
              <w:br/>
            </w:r>
            <w:r>
              <w:rPr>
                <w:rFonts w:ascii="Arial" w:hAnsi="Arial" w:eastAsia="Arial" w:cs="Arial"/>
                <w:color w:val="000000"/>
                <w:sz w:val="20"/>
              </w:rPr>
              <w:t>The placement days includes the first day (i.e. the day the child enters placement) and excludes the last day (i.e. the day the child departs from placement).</w:t>
            </w:r>
            <w:r>
              <w:br/>
            </w:r>
            <w:r>
              <w:rPr>
                <w:rFonts w:ascii="Arial" w:hAnsi="Arial" w:eastAsia="Arial" w:cs="Arial"/>
                <w:color w:val="000000"/>
                <w:sz w:val="20"/>
              </w:rPr>
              <w:t>For example:</w:t>
            </w:r>
            <w:r>
              <w:br/>
            </w:r>
            <w:r>
              <w:rPr>
                <w:rFonts w:ascii="Arial" w:hAnsi="Arial" w:eastAsia="Arial" w:cs="Arial"/>
                <w:color w:val="000000"/>
                <w:sz w:val="20"/>
              </w:rPr>
              <w:t>1 child, placed for 29 day = 29 placement days</w:t>
            </w:r>
            <w:r>
              <w:br/>
            </w:r>
            <w:r>
              <w:rPr>
                <w:rFonts w:ascii="Arial" w:hAnsi="Arial" w:eastAsia="Arial" w:cs="Arial"/>
                <w:color w:val="000000"/>
                <w:sz w:val="20"/>
              </w:rPr>
              <w:t>3 children, placed for 31 days = 93 placement days</w:t>
            </w:r>
            <w:r>
              <w:br/>
            </w:r>
            <w:r>
              <w:rPr>
                <w:rFonts w:ascii="Arial" w:hAnsi="Arial" w:eastAsia="Arial" w:cs="Arial"/>
                <w:color w:val="000000"/>
                <w:sz w:val="20"/>
              </w:rPr>
              <w:t>10 children, placed for 28 days = 280 placement days</w:t>
            </w:r>
            <w:r>
              <w:br/>
            </w:r>
            <w:r>
              <w:rPr>
                <w:rFonts w:ascii="Arial" w:hAnsi="Arial" w:eastAsia="Arial" w:cs="Arial"/>
                <w:color w:val="000000"/>
                <w:sz w:val="20"/>
              </w:rPr>
              <w:t>No. of placement days used in June quarter = 402 (29 + 93 + 280)</w:t>
            </w:r>
            <w:r>
              <w:br/>
            </w:r>
            <w:r>
              <w:rPr>
                <w:rFonts w:ascii="Arial" w:hAnsi="Arial" w:eastAsia="Arial" w:cs="Arial"/>
                <w:color w:val="000000"/>
                <w:sz w:val="20"/>
              </w:rPr>
              <w:t>Total days June quarter = 91</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Daily average number is the equivalent number of clients per day during the reporting period (e.g. June quarter = 91days).</w:t>
            </w:r>
            <w:r>
              <w:br/>
            </w:r>
            <w:r>
              <w:rPr>
                <w:rFonts w:ascii="Arial" w:hAnsi="Arial" w:eastAsia="Arial" w:cs="Arial"/>
                <w:color w:val="000000"/>
                <w:sz w:val="20"/>
              </w:rPr>
              <w:t>Placement refers to the accommodation provided.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Percentage of children and young people who are subject to protective involvement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percentage of children and young people who are subject to protective involvement during the reporting period. All children and young people in residential care must be subject to protective involvement.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in care during the reporting period whose cases are open on CRIS/CRISSP and subject to protective involvement, divided by the total number of clients in residential care, general.</w:t>
            </w:r>
            <w:r>
              <w:br/>
            </w:r>
            <w:r>
              <w:rPr>
                <w:rFonts w:ascii="Arial" w:hAnsi="Arial" w:eastAsia="Arial" w:cs="Arial"/>
                <w:color w:val="000000"/>
                <w:sz w:val="20"/>
              </w:rPr>
              <w:t>For example:</w:t>
            </w:r>
            <w:r>
              <w:br/>
            </w:r>
            <w:r>
              <w:rPr>
                <w:rFonts w:ascii="Arial" w:hAnsi="Arial" w:eastAsia="Arial" w:cs="Arial"/>
                <w:color w:val="000000"/>
                <w:sz w:val="20"/>
              </w:rPr>
              <w:t>Number of clients with protective involvement (CRIS/CRISSP) = 32</w:t>
            </w:r>
            <w:r>
              <w:br/>
            </w:r>
            <w:r>
              <w:rPr>
                <w:rFonts w:ascii="Arial" w:hAnsi="Arial" w:eastAsia="Arial" w:cs="Arial"/>
                <w:color w:val="000000"/>
                <w:sz w:val="20"/>
              </w:rPr>
              <w:t>Total number of clients (CRISSP) = 145</w:t>
            </w:r>
            <w:r>
              <w:br/>
            </w:r>
            <w:r>
              <w:rPr>
                <w:rFonts w:ascii="Arial" w:hAnsi="Arial" w:eastAsia="Arial" w:cs="Arial"/>
                <w:color w:val="000000"/>
                <w:sz w:val="20"/>
              </w:rPr>
              <w:t>Percentage = (32 / 145) x 100 = 22.0%</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Out of Home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Child and young person are defined in accordance with the Children Youth and Families Act 2005.</w:t>
            </w:r>
            <w:r>
              <w:br/>
            </w:r>
            <w:r>
              <w:rPr>
                <w:rFonts w:ascii="Arial" w:hAnsi="Arial" w:eastAsia="Arial" w:cs="Arial"/>
                <w:color w:val="000000"/>
                <w:sz w:val="20"/>
              </w:rPr>
              <w:t>Protective involvement refers to children/young people who are either subject to current protective order, investigation or where on-going risk has been substantiated by Protective Services.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Percentage of total exits from placement that are planned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percentage of exits from placement that are planned during the reporting period. This information is required to plan placement transition for a young person prior to their exit from the residential care placement.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 days in the reporting period, divided by number of days in the reporting period. The placement days includes the first day(i.e. the day the child enters placement) and excludes the last day(i.e. the day the child departs from placement).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Out of Home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Exit refers to when the placement ends and the client leaves the placement.</w:t>
            </w:r>
            <w:r>
              <w:br/>
            </w:r>
            <w:r>
              <w:rPr>
                <w:rFonts w:ascii="Arial" w:hAnsi="Arial" w:eastAsia="Arial" w:cs="Arial"/>
                <w:color w:val="000000"/>
                <w:sz w:val="20"/>
              </w:rPr>
              <w:t>Placement refers to the accommodation provided.</w:t>
            </w:r>
            <w:r>
              <w:br/>
            </w:r>
            <w:r>
              <w:rPr>
                <w:rFonts w:ascii="Arial" w:hAnsi="Arial" w:eastAsia="Arial" w:cs="Arial"/>
                <w:color w:val="000000"/>
                <w:sz w:val="20"/>
              </w:rPr>
              <w:t>Planned (exits) means the case planning process which ensures that exits from placements are planned.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Daily average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daily average number of placements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daily average placements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Out of Home Care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December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9"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31415 Residential Care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