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System Enablers - Better Futures 31291</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3.png"/>
<Relationship Id="rId11" Type="http://schemas.openxmlformats.org/officeDocument/2006/relationships/hyperlink" Target="https://providers.dffh.vic.gov.au/leaving-care" TargetMode="External"/>
<Relationship Id="rId12" Type="http://schemas.openxmlformats.org/officeDocument/2006/relationships/hyperlink" Target="https://providers.dffh.vic.gov.au/better-futures-performance-and-reporting-practice-advice" TargetMode="External"/>
<Relationship Id="rId13" Type="http://schemas.openxmlformats.org/officeDocument/2006/relationships/hyperlink" Target="http://providers.dffh.vic.gov.au/families-fairness-housing-health-activity-search" TargetMode="External"/>
<Relationship Id="rId14" Type="http://schemas.openxmlformats.org/officeDocument/2006/relationships/numbering" Target="numbering.xml"/>
</Relationship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100" w:line="288" w:lineRule="auto"/>
        <w:ind w:left="-699"/>
        <w:rPr/>
      </w:pPr>
      <w:r>
        <w:rPr>
          <w:noProof/>
        </w:rPr>
        <w:drawing>
          <wp:inline distT="0" distB="0" distL="0" distR="0">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System Enablers - Better Futures</w:t>
            </w:r>
          </w:p>
          <w:p>
            <w:pPr>
              <w:spacing w:line="560" w:lineRule="atLeast"/>
              <w:rPr>
                <w:rFonts w:ascii="Arial" w:hAnsi="Arial" w:eastAsia="Arial" w:cs="Arial"/>
                <w:color w:val="201547"/>
                <w:sz w:val="44"/>
              </w:rPr>
            </w:pPr>
            <w:r>
              <w:rPr>
                <w:rFonts w:ascii="Arial" w:hAnsi="Arial" w:eastAsia="Arial" w:cs="Arial"/>
                <w:color w:val="201547"/>
                <w:sz w:val="44"/>
              </w:rPr>
              <w:t>31291</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have capabilities to participate</w:t>
            </w:r>
          </w:p>
          <w:p>
            <w:pPr>
              <w:spacing w:after="120"/>
              <w:rPr>
                <w:rFonts w:ascii="Arial" w:hAnsi="Arial" w:eastAsia="Arial" w:cs="Arial"/>
                <w:color w:val="201547"/>
                <w:sz w:val="28"/>
              </w:rPr>
            </w:pPr>
            <w:r>
              <w:rPr>
                <w:rFonts w:ascii="Arial" w:hAnsi="Arial" w:eastAsia="Arial" w:cs="Arial"/>
                <w:color w:val="201547"/>
                <w:sz w:val="28"/>
              </w:rPr>
              <w:t>Output group: Child Protection and Family Services</w:t>
            </w:r>
          </w:p>
          <w:p>
            <w:pPr>
              <w:spacing w:after="120"/>
              <w:rPr>
                <w:rFonts w:ascii="Arial" w:hAnsi="Arial" w:eastAsia="Arial" w:cs="Arial"/>
                <w:color w:val="201547"/>
                <w:sz w:val="28"/>
              </w:rPr>
            </w:pPr>
            <w:r>
              <w:rPr>
                <w:rFonts w:ascii="Arial" w:hAnsi="Arial" w:eastAsia="Arial" w:cs="Arial"/>
                <w:color w:val="201547"/>
                <w:sz w:val="28"/>
              </w:rPr>
              <w:t>Output: Family And Community Services</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To build capacity and support the effective operation, performance, governance and accountability of Better Futures providers.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Better Futures, a new way of supporting young people leaving care, rolled out across Victoria in November 2019.</w:t>
      </w:r>
      <w:r>
        <w:br/>
      </w:r>
      <w:r>
        <w:rPr>
          <w:rFonts w:ascii="Arial" w:hAnsi="Arial" w:eastAsia="Arial" w:cs="Arial"/>
          <w:color w:val="000000"/>
          <w:sz w:val="20"/>
        </w:rPr>
        <w:t>Young people in kinship, foster and residential care and on the relevant orders are referred to Better Futures by their Department of Health and Human Services child protection case manager/contracted case manager/ Aboriginal Children Aboriginal Care (ACAC) case manager at 15 years and 9 months of age, allowing for earlier and more comprehensive transition planning, preparing young people for a successful transition to adulthood.</w:t>
      </w:r>
      <w:r>
        <w:br/>
      </w:r>
      <w:r>
        <w:rPr>
          <w:rFonts w:ascii="Arial" w:hAnsi="Arial" w:eastAsia="Arial" w:cs="Arial"/>
          <w:color w:val="000000"/>
          <w:sz w:val="20"/>
        </w:rPr>
        <w:t>The Better Futures model includes case work support and access to flexible funding to support the achievement of goals for independence. Better Futures workers work with young people (and/or care teams while a young person is in-care) to identify goals across five service offers:</w:t>
      </w:r>
      <w:r>
        <w:br/>
      </w:r>
      <w:r>
        <w:rPr>
          <w:rFonts w:ascii="Arial" w:hAnsi="Arial" w:eastAsia="Arial" w:cs="Arial"/>
          <w:color w:val="000000"/>
          <w:sz w:val="20"/>
        </w:rPr>
        <w:t>•	Housing and Living Skills</w:t>
      </w:r>
      <w:r>
        <w:br/>
      </w:r>
      <w:r>
        <w:rPr>
          <w:rFonts w:ascii="Arial" w:hAnsi="Arial" w:eastAsia="Arial" w:cs="Arial"/>
          <w:color w:val="000000"/>
          <w:sz w:val="20"/>
        </w:rPr>
        <w:t>•	Health and Wellbeing</w:t>
      </w:r>
      <w:r>
        <w:br/>
      </w:r>
      <w:r>
        <w:rPr>
          <w:rFonts w:ascii="Arial" w:hAnsi="Arial" w:eastAsia="Arial" w:cs="Arial"/>
          <w:color w:val="000000"/>
          <w:sz w:val="20"/>
        </w:rPr>
        <w:t>•	Education</w:t>
      </w:r>
      <w:r>
        <w:br/>
      </w:r>
      <w:r>
        <w:rPr>
          <w:rFonts w:ascii="Arial" w:hAnsi="Arial" w:eastAsia="Arial" w:cs="Arial"/>
          <w:color w:val="000000"/>
          <w:sz w:val="20"/>
        </w:rPr>
        <w:t>•	Employment</w:t>
      </w:r>
      <w:r>
        <w:br/>
      </w:r>
      <w:r>
        <w:rPr>
          <w:rFonts w:ascii="Arial" w:hAnsi="Arial" w:eastAsia="Arial" w:cs="Arial"/>
          <w:color w:val="000000"/>
          <w:sz w:val="20"/>
        </w:rPr>
        <w:t xml:space="preserve">•	Community Connections </w:t>
      </w:r>
      <w:r>
        <w:br/>
      </w:r>
      <w:r>
        <w:br/>
      </w:r>
      <w:r>
        <w:rPr>
          <w:rFonts w:ascii="Arial" w:hAnsi="Arial" w:eastAsia="Arial" w:cs="Arial"/>
          <w:color w:val="000000"/>
          <w:sz w:val="20"/>
        </w:rPr>
        <w:t>System Enablers – Better Futures supports the effective delivery of the Community Connections service offer under the Better Futures model.</w:t>
      </w:r>
      <w:r>
        <w:br/>
      </w:r>
      <w:r>
        <w:rPr>
          <w:rFonts w:ascii="Arial" w:hAnsi="Arial" w:eastAsia="Arial" w:cs="Arial"/>
          <w:color w:val="000000"/>
          <w:sz w:val="20"/>
        </w:rPr>
        <w:t xml:space="preserve">Community Connectors employed within community service organisations facilitate access to new pathways, networks and resources so that young people can build enabling, meaningful and sustained connections that will help them achieve their goals and support their transition to independence. </w:t>
      </w:r>
      <w:r>
        <w:br/>
      </w:r>
      <w:r>
        <w:rPr>
          <w:rFonts w:ascii="Arial" w:hAnsi="Arial" w:eastAsia="Arial" w:cs="Arial"/>
          <w:color w:val="000000"/>
          <w:sz w:val="20"/>
        </w:rPr>
        <w:t>Community Connectors focus on strengthening young people’s social capital, with an emphasis on building support networks beyond the service system; this may include matching young people with a mentor based on their interests, goals and aspirations.</w:t>
      </w:r>
      <w:r>
        <w:br/>
      </w:r>
      <w:r>
        <w:rPr>
          <w:rFonts w:ascii="Arial" w:hAnsi="Arial" w:eastAsia="Arial" w:cs="Arial"/>
          <w:color w:val="000000"/>
          <w:sz w:val="20"/>
        </w:rPr>
        <w:t>Community Connectors seek out and build networks with the purpose of leveraging community investment to provide civic, social, economic and cultural opportunities for young people transitioning from care. This includes both leveraging existing local partnerships, and developing new relationships spanning government, business, community and philanthropy. Community Connectors do not provide direct case work.</w:t>
      </w:r>
      <w:r>
        <w:br/>
      </w:r>
      <w:r>
        <w:br/>
      </w:r>
      <w:r>
        <w:br/>
      </w:r>
      <w:r>
        <w:rPr>
          <w:rFonts w:ascii="Arial" w:hAnsi="Arial" w:eastAsia="Arial" w:cs="Arial"/>
          <w:color w:val="000000"/>
          <w:sz w:val="20"/>
        </w:rPr>
        <w:t>System Enablers – Better Futures also supports the effective delivery of the Community Integration Program and the Ramp Mentoring Program.</w:t>
      </w:r>
      <w:r>
        <w:br/>
      </w:r>
      <w:r>
        <w:rPr>
          <w:rFonts w:ascii="Arial" w:hAnsi="Arial" w:eastAsia="Arial" w:cs="Arial"/>
          <w:color w:val="000000"/>
          <w:sz w:val="20"/>
        </w:rPr>
        <w:t>Community Integration Program</w:t>
      </w:r>
      <w:r>
        <w:br/>
      </w:r>
      <w:r>
        <w:rPr>
          <w:rFonts w:ascii="Arial" w:hAnsi="Arial" w:eastAsia="Arial" w:cs="Arial"/>
          <w:color w:val="000000"/>
          <w:sz w:val="20"/>
        </w:rPr>
        <w:t>The Community Integration Program is a volunteer-based program that supports young people in care aged 10 to 17 years to link and connect with their communities. The aims and benefits of the program are to increase the social skills and confidence of young people, reduce isolation and disconnection, and create new links and opportunities.</w:t>
      </w:r>
      <w:r>
        <w:br/>
      </w:r>
      <w:r>
        <w:rPr>
          <w:rFonts w:ascii="Arial" w:hAnsi="Arial" w:eastAsia="Arial" w:cs="Arial"/>
          <w:color w:val="000000"/>
          <w:sz w:val="20"/>
        </w:rPr>
        <w:t>Ramp Mentoring Program</w:t>
      </w:r>
      <w:r>
        <w:br/>
      </w:r>
      <w:r>
        <w:rPr>
          <w:rFonts w:ascii="Arial" w:hAnsi="Arial" w:eastAsia="Arial" w:cs="Arial"/>
          <w:color w:val="000000"/>
          <w:sz w:val="20"/>
        </w:rPr>
        <w:t>The Ramp Mentoring Program combines mentoring with experiential group activities for young people living in residential care, aged 13-18 years old.</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Community service organisations delivering Better Futures provide case work support to young people in-care and post-care from 15 years and 9 months to 21 years. </w:t>
      </w:r>
      <w:r>
        <w:br/>
      </w:r>
      <w:r>
        <w:rPr>
          <w:rFonts w:ascii="Arial" w:hAnsi="Arial" w:eastAsia="Arial" w:cs="Arial"/>
          <w:color w:val="000000"/>
          <w:sz w:val="20"/>
        </w:rPr>
        <w:t>•	Client Facing</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numPr>
          <w:ilvl w:val="0"/>
          <w:numId w:val="7"/>
        </w:numPr>
        <w:spacing w:after="40" w:line="270" w:lineRule="atLeast"/>
        <w:rPr>
          <w:rFonts w:ascii="Arial" w:hAnsi="Arial" w:eastAsia="Arial" w:cs="Arial"/>
          <w:b/>
          <w:bCs/>
          <w:color w:val="000000"/>
          <w:sz w:val="20"/>
        </w:rPr>
      </w:pPr>
      <w:r>
        <w:rPr>
          <w:rFonts w:ascii="Arial" w:hAnsi="Arial" w:eastAsia="Arial" w:cs="Arial"/>
          <w:color w:val="000000"/>
          <w:sz w:val="20"/>
        </w:rPr>
        <w:t>Independent review and accreditation against the department’s Human Services Standards, unless exempted.</w:t>
      </w:r>
      <w:r>
        <w:rPr>
          <w:rFonts w:ascii="Arial" w:hAnsi="Arial" w:eastAsia="Arial" w:cs="Arial"/>
          <w:b/>
          <w:bCs/>
          <w:color w:val="000000"/>
          <w:sz w:val="20"/>
        </w:rPr>
        <w:t xml:space="preserve"> </w:t>
      </w:r>
    </w:p>
    <w:p>
      <w:pPr>
        <w:numPr>
          <w:ilvl w:val="0"/>
          <w:numId w:val="7"/>
        </w:numPr>
        <w:spacing w:after="40" w:line="270" w:lineRule="atLeast"/>
        <w:rPr>
          <w:rFonts w:ascii="Arial" w:hAnsi="Arial" w:eastAsia="Arial" w:cs="Arial"/>
          <w:color w:val="000000"/>
          <w:sz w:val="20"/>
        </w:rPr>
      </w:pPr>
      <w:r>
        <w:rPr>
          <w:rFonts w:ascii="Arial" w:hAnsi="Arial" w:eastAsia="Arial" w:cs="Arial"/>
          <w:color w:val="000000"/>
          <w:sz w:val="20"/>
        </w:rPr>
        <w:t>Registration under the Children, Youth and Families Act 2005</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Better Futures Operational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&lt;https://providers.dffh.vic.gov.au/leaving-care&gt;</w:t>
      </w:r>
    </w:p>
    <w:p>
      <w:pPr>
        <w:numPr>
          <w:ilvl w:val="0"/>
          <w:numId w:val="7"/>
        </w:numPr>
        <w:spacing w:after="40" w:line="270" w:lineRule="atLeast"/>
        <w:rPr>
          <w:rFonts w:ascii="Arial" w:hAnsi="Arial" w:eastAsia="Arial" w:cs="Arial"/>
          <w:color w:val="3366FF"/>
          <w:sz w:val="20"/>
        </w:rPr>
      </w:pPr>
      <w:hyperlink r:id="rId12" w:tgtFrame="_blank" w:history="1">
        <w:r>
          <w:rPr>
            <w:rFonts w:ascii="Arial" w:hAnsi="Arial" w:eastAsia="Arial" w:cs="Arial"/>
            <w:color w:val="3366FF"/>
            <w:sz w:val="20"/>
          </w:rPr>
          <w:t>Better Futures Performance and Reporting Practice Advice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&lt;https://providers.dffh.vic.gov.au/better-futures-performance-and-reporting-practice-advice&gt;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Provide annual reports and plans. Quarterly reports as required.</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Non-cumulative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Performance measure 2: Number of roles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Non-cumulative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Quarterly Reports</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Quarterly Report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Quarterly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Community Connections Annual Plan</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Better Futures Annual Outcomes Report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Annual</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Community Connections Annual Outcomes Report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Better Futures Annual Outcomes Report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Annual</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111" w:type="dxa"/>
        <w:tblLayout w:type="fixed"/>
        <w:tblCellMar>
          <w:left w:w="0" w:type="dxa"/>
          <w:right w:w="0" w:type="dxa"/>
        </w:tblCellMar>
      </w:tblPr>
      <w:tblGrid>
        <w:gridCol w:w="10204"/>
      </w:tblGrid>
      <w:tr>
        <w:trPr>
          <w:cantSplit/>
        </w:trPr>
        <w:tc>
          <w:tcPr>
            <w:tcW w:w="10204"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3366FF"/>
                <w:sz w:val="24"/>
              </w:rPr>
            </w:pPr>
            <w:r>
              <w:rPr>
                <w:rFonts w:ascii="Arial" w:hAnsi="Arial" w:eastAsia="Arial" w:cs="Arial"/>
                <w:color w:val="000000"/>
                <w:sz w:val="24"/>
              </w:rPr>
              <w:t xml:space="preserve">To receive this publication in an accessible format, email </w:t>
            </w:r>
            <w:r>
              <w:rPr>
                <w:rFonts w:ascii="Arial" w:hAnsi="Arial" w:eastAsia="Arial" w:cs="Arial"/>
                <w:color w:val="3366FF"/>
                <w:sz w:val="24"/>
              </w:rPr>
              <w:t>Monitoring Framework Helpdesk &lt;monitoringframework.helpdesk@dffh.vic.gov.au&gt;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Authorised and published by the Victorian Government, 1 Treasury Place, Melbourne.</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 State of Victoria, Australia, Department of Families, Fairness and Housing, </w:t>
            </w:r>
            <w:r>
              <w:rPr>
                <w:rFonts w:ascii="Arial" w:hAnsi="Arial" w:eastAsia="Arial" w:cs="Arial"/>
                <w:color w:val="000000"/>
                <w:sz w:val="16"/>
              </w:rPr>
              <w:t>September 2024</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2653-0929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13"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77" w:type="dxa"/>
      <w:tblLayout w:type="fixed"/>
      <w:tblCellMar>
        <w:left w:w="0" w:type="dxa"/>
        <w:right w:w="0" w:type="dxa"/>
      </w:tblCellMar>
    </w:tblPr>
    <w:tblGrid>
      <w:gridCol w:w="3473"/>
      <w:gridCol w:w="3473"/>
      <w:gridCol w:w="3692"/>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692" w:type="dxa"/>
          <w:shd w:val="clear" w:color="auto" w:fill="FFFFFF"/>
        </w:tcPr>
        <w:p>
          <w:pPr>
            <w:tabs>
              <w:tab w:val="right" w:pos="10314"/>
            </w:tabs>
            <w:spacing w:before="240"/>
            <w:ind w:left="108"/>
            <w:jc w:val="center"/>
            <w:rPr>
              <w:rFonts w:ascii="Arial" w:hAnsi="Arial" w:eastAsia="Arial" w:cs="Arial"/>
              <w:color w:val="000000"/>
              <w:sz w:val="18"/>
            </w:rPr>
          </w:pPr>
          <w:r>
            <w:rPr>
              <w:rFonts w:ascii="Arial" w:hAnsi="Arial" w:eastAsia="Arial" w:cs="Arial"/>
              <w:color w:val="000000"/>
              <w:sz w:val="18"/>
            </w:rPr>
            <w:t xml:space="preserve">             </w:t>
          </w:r>
        </w:p>
        <w:p>
          <w:pPr>
            <w:tabs>
              <w:tab w:val="right" w:pos="10314"/>
            </w:tabs>
            <w:spacing w:before="240"/>
            <w:ind w:left="108"/>
            <w:jc w:val="center"/>
            <w:rPr/>
          </w:pPr>
          <w:r>
            <w:rPr>
              <w:noProof/>
            </w:rPr>
            <w:drawing>
              <wp:inline distT="0" distB="0" distL="0" distR="0">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7" w:type="dxa"/>
      <w:tblLayout w:type="fixed"/>
      <w:tblCellMar>
        <w:left w:w="0" w:type="dxa"/>
        <w:right w:w="0" w:type="dxa"/>
      </w:tblCellMar>
    </w:tblPr>
    <w:tblGrid>
      <w:gridCol w:w="3473"/>
      <w:gridCol w:w="3473"/>
      <w:gridCol w:w="3473"/>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3" w:type="dxa"/>
          <w:shd w:val="clear" w:color="auto" w:fill="FFFFFF"/>
        </w:tcPr>
        <w:p>
          <w:pPr>
            <w:tabs>
              <w:tab w:val="right" w:pos="10314"/>
            </w:tabs>
            <w:spacing w:before="240"/>
            <w:ind w:left="108"/>
            <w:jc w:val="center"/>
            <w:rPr/>
          </w:pPr>
          <w:r>
            <w:rPr>
              <w:noProof/>
            </w:rPr>
            <w:drawing>
              <wp:inline distT="0" distB="0" distL="0" distR="0">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Child Protection and Family Services 31291 System Enablers - Better Futures</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