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Individual, Child and Family Support - Better Futures 31290</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providers.dffh.vic.gov.au/care-and-transition-planning-leaving-care-framework-word" TargetMode="External"/>
<Relationship Id="rId12" Type="http://schemas.openxmlformats.org/officeDocument/2006/relationships/hyperlink" Target="https://providers.dffh.vic.gov.au/program-requirements-residential-care-victoria-oct-2016-word" TargetMode="External"/>
<Relationship Id="rId13" Type="http://schemas.openxmlformats.org/officeDocument/2006/relationships/hyperlink" Target="https://providers.dffh.vic.gov.au/leaving-care" TargetMode="External"/>
<Relationship Id="rId14" Type="http://schemas.openxmlformats.org/officeDocument/2006/relationships/hyperlink" Target="https://providers.dffh.vic.gov.au/leaving-care" TargetMode="External"/>
<Relationship Id="rId15" Type="http://schemas.openxmlformats.org/officeDocument/2006/relationships/hyperlink" Target="https://www.dss.gov.au/our-responsibilities/families-and-children/publications-articles/transitioning-to-independence-from-out-of-home-care-discussion-paper?HTML" TargetMode="External"/>
<Relationship Id="rId16" Type="http://schemas.openxmlformats.org/officeDocument/2006/relationships/hyperlink" Target="https://providers.dffh.vic.gov.au/better-futures-performance-and-reporting-practice-advice" TargetMode="External"/>
<Relationship Id="rId17" Type="http://schemas.openxmlformats.org/officeDocument/2006/relationships/hyperlink" Target="https://providers.dffh.vic.gov.au/better-futures-outcomes-measurement-practice-advice" TargetMode="External"/>
<Relationship Id="rId18" Type="http://schemas.openxmlformats.org/officeDocument/2006/relationships/hyperlink" Target="http://providers.dffh.vic.gov.au/families-fairness-housing-health-activity-search" TargetMode="External"/>
<Relationship Id="rId19"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Individual, Child and Family Support - Better Futures</w:t>
            </w:r>
          </w:p>
          <w:p>
            <w:pPr>
              <w:spacing w:line="560" w:lineRule="atLeast"/>
              <w:rPr>
                <w:rFonts w:ascii="Arial" w:hAnsi="Arial" w:eastAsia="Arial" w:cs="Arial"/>
                <w:color w:val="201547"/>
                <w:sz w:val="44"/>
              </w:rPr>
            </w:pPr>
            <w:r>
              <w:rPr>
                <w:rFonts w:ascii="Arial" w:hAnsi="Arial" w:eastAsia="Arial" w:cs="Arial"/>
                <w:color w:val="201547"/>
                <w:sz w:val="44"/>
              </w:rPr>
              <w:t>31290</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have capabilities to participate</w:t>
            </w:r>
          </w:p>
          <w:p>
            <w:pPr>
              <w:spacing w:after="120"/>
              <w:rPr>
                <w:rFonts w:ascii="Arial" w:hAnsi="Arial" w:eastAsia="Arial" w:cs="Arial"/>
                <w:color w:val="201547"/>
                <w:sz w:val="28"/>
              </w:rPr>
            </w:pPr>
            <w:r>
              <w:rPr>
                <w:rFonts w:ascii="Arial" w:hAnsi="Arial" w:eastAsia="Arial" w:cs="Arial"/>
                <w:color w:val="201547"/>
                <w:sz w:val="28"/>
              </w:rPr>
              <w:t>Output group: Child Protection and Family Services</w:t>
            </w:r>
          </w:p>
          <w:p>
            <w:pPr>
              <w:spacing w:after="120"/>
              <w:rPr>
                <w:rFonts w:ascii="Arial" w:hAnsi="Arial" w:eastAsia="Arial" w:cs="Arial"/>
                <w:color w:val="201547"/>
                <w:sz w:val="28"/>
              </w:rPr>
            </w:pPr>
            <w:r>
              <w:rPr>
                <w:rFonts w:ascii="Arial" w:hAnsi="Arial" w:eastAsia="Arial" w:cs="Arial"/>
                <w:color w:val="201547"/>
                <w:sz w:val="28"/>
              </w:rPr>
              <w:t>Output: Family And Community Services</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The aim of Better Futures is to engage earlier with care leavers, supporting them to have an active voice in their transition planning, and providing individualised supports both in-care and post-care across a range of life areas including housing, health and wellbeing, education, employment, and community and cultural connections.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Better Futures, a new way of supporting young people leaving care, rolled out across Victoria in November 2019.</w:t>
      </w:r>
      <w:r>
        <w:br/>
      </w:r>
      <w:r>
        <w:br/>
      </w:r>
      <w:r>
        <w:rPr>
          <w:rFonts w:ascii="Arial" w:hAnsi="Arial" w:eastAsia="Arial" w:cs="Arial"/>
          <w:color w:val="000000"/>
          <w:sz w:val="20"/>
        </w:rPr>
        <w:t>Young people in kinship, foster and residential care and on eligible orders are referred to Better Futures by their child protection case manager (DFFH, contracted or ACAC) at 15 years and 9 months of age, allowing for earlier and more comprehensive transition planning, preparing young people for a successful transition to adulthood.</w:t>
      </w:r>
      <w:r>
        <w:br/>
      </w:r>
      <w:r>
        <w:rPr>
          <w:rFonts w:ascii="Arial" w:hAnsi="Arial" w:eastAsia="Arial" w:cs="Arial"/>
          <w:color w:val="000000"/>
          <w:sz w:val="20"/>
        </w:rPr>
        <w:t>For young people on permanent care orders, either Permanent Care and Adoptive Families (PCA Families) or the Victorian Aboriginal Child Care Agency (VACCA) will manage the referral process to Better Futures.</w:t>
      </w:r>
      <w:r>
        <w:br/>
      </w:r>
      <w:r>
        <w:br/>
      </w:r>
      <w:r>
        <w:rPr>
          <w:rFonts w:ascii="Arial" w:hAnsi="Arial" w:eastAsia="Arial" w:cs="Arial"/>
          <w:color w:val="000000"/>
          <w:sz w:val="20"/>
        </w:rPr>
        <w:t>The Better Futures model includes case work support and access to flexible funding to support the achievement of goals for independence. Better Futures Development Coaches work with young people (and/or care teams while a young person is in-care) to identify goals across five service offers:</w:t>
      </w:r>
      <w:r>
        <w:br/>
      </w:r>
      <w:r>
        <w:br/>
      </w:r>
      <w:r>
        <w:rPr>
          <w:rFonts w:ascii="Arial" w:hAnsi="Arial" w:eastAsia="Arial" w:cs="Arial"/>
          <w:color w:val="000000"/>
          <w:sz w:val="20"/>
        </w:rPr>
        <w:t>• Housing and Living Skills</w:t>
      </w:r>
      <w:r>
        <w:br/>
      </w:r>
      <w:r>
        <w:rPr>
          <w:rFonts w:ascii="Arial" w:hAnsi="Arial" w:eastAsia="Arial" w:cs="Arial"/>
          <w:color w:val="000000"/>
          <w:sz w:val="20"/>
        </w:rPr>
        <w:t>• Health and Wellbeing</w:t>
      </w:r>
      <w:r>
        <w:br/>
      </w:r>
      <w:r>
        <w:rPr>
          <w:rFonts w:ascii="Arial" w:hAnsi="Arial" w:eastAsia="Arial" w:cs="Arial"/>
          <w:color w:val="000000"/>
          <w:sz w:val="20"/>
        </w:rPr>
        <w:t>• Education</w:t>
      </w:r>
      <w:r>
        <w:br/>
      </w:r>
      <w:r>
        <w:rPr>
          <w:rFonts w:ascii="Arial" w:hAnsi="Arial" w:eastAsia="Arial" w:cs="Arial"/>
          <w:color w:val="000000"/>
          <w:sz w:val="20"/>
        </w:rPr>
        <w:t xml:space="preserve">• Employment </w:t>
      </w:r>
      <w:r>
        <w:br/>
      </w:r>
      <w:r>
        <w:rPr>
          <w:rFonts w:ascii="Arial" w:hAnsi="Arial" w:eastAsia="Arial" w:cs="Arial"/>
          <w:color w:val="000000"/>
          <w:sz w:val="20"/>
        </w:rPr>
        <w:t>• Community Connections</w:t>
      </w:r>
      <w:r>
        <w:br/>
      </w:r>
      <w:r>
        <w:br/>
      </w:r>
      <w:r>
        <w:rPr>
          <w:rFonts w:ascii="Arial" w:hAnsi="Arial" w:eastAsia="Arial" w:cs="Arial"/>
          <w:color w:val="000000"/>
          <w:sz w:val="20"/>
        </w:rPr>
        <w:t xml:space="preserve">The Better Futures Development Coach does not assume lead responsibility for case work support whilst the young person is subject to a statutory order. Each young person is provided with a level of support commensurate with their needs, circumstances, existing support systems and organisational capacity.  When the young person is in care and still some time away from transitioning to independence, it is likely that the primary role of Better Futures will be to provide secondary consultation to case managers and care teams. In most instances, support from the Better Futures Development Coach will gradually increase as the young person prepares to transition from care, usually from about six months prior. </w:t>
      </w:r>
      <w:r>
        <w:br/>
      </w:r>
      <w:r>
        <w:br/>
      </w:r>
      <w:r>
        <w:rPr>
          <w:rFonts w:ascii="Arial" w:hAnsi="Arial" w:eastAsia="Arial" w:cs="Arial"/>
          <w:color w:val="000000"/>
          <w:sz w:val="20"/>
        </w:rPr>
        <w:t>Young people may receive active supports (most commonly provided post care), limited supports (most commonly provided in care), or be on active hold.  Young people on active hold receive, at a minimum, a quarterly ‘check-in’ (for example in person or via telephone or email) from the Better Futures provider.</w:t>
      </w:r>
      <w:r>
        <w:br/>
      </w:r>
      <w:r>
        <w:br/>
      </w:r>
      <w:r>
        <w:rPr>
          <w:rFonts w:ascii="Arial" w:hAnsi="Arial" w:eastAsia="Arial" w:cs="Arial"/>
          <w:color w:val="000000"/>
          <w:sz w:val="20"/>
        </w:rPr>
        <w:t>Better Futures includes supports of varying intensity. These are designed so that service providers can provide flexible, tailored support to young people based on their individual needs – support that can flex up and down as a young person’s needs change. For more information see Better Futures Operational Guidelines.</w:t>
      </w:r>
      <w:r>
        <w:br/>
      </w:r>
      <w:r>
        <w:br/>
      </w:r>
      <w:r>
        <w:rPr>
          <w:rFonts w:ascii="Arial" w:hAnsi="Arial" w:eastAsia="Arial" w:cs="Arial"/>
          <w:color w:val="000000"/>
          <w:sz w:val="20"/>
        </w:rPr>
        <w:t>Better Futures includes three levels of support:</w:t>
      </w:r>
      <w:r>
        <w:br/>
      </w:r>
      <w:r>
        <w:rPr>
          <w:rFonts w:ascii="Arial" w:hAnsi="Arial" w:eastAsia="Arial" w:cs="Arial"/>
          <w:color w:val="000000"/>
          <w:sz w:val="20"/>
        </w:rPr>
        <w:t>• Brief intervention – (10 hours) – Better Futures</w:t>
      </w:r>
      <w:r>
        <w:br/>
      </w:r>
      <w:r>
        <w:rPr>
          <w:rFonts w:ascii="Arial" w:hAnsi="Arial" w:eastAsia="Arial" w:cs="Arial"/>
          <w:color w:val="000000"/>
          <w:sz w:val="20"/>
        </w:rPr>
        <w:t>• Foundation (40 hours) – Better Futures</w:t>
      </w:r>
      <w:r>
        <w:br/>
      </w:r>
      <w:r>
        <w:rPr>
          <w:rFonts w:ascii="Arial" w:hAnsi="Arial" w:eastAsia="Arial" w:cs="Arial"/>
          <w:color w:val="000000"/>
          <w:sz w:val="20"/>
        </w:rPr>
        <w:t>• Sustained (110 hours) – Better Futures</w:t>
      </w:r>
      <w:r>
        <w:br/>
      </w:r>
      <w:r>
        <w:br/>
      </w:r>
      <w:r>
        <w:rPr>
          <w:rFonts w:ascii="Arial" w:hAnsi="Arial" w:eastAsia="Arial" w:cs="Arial"/>
          <w:color w:val="000000"/>
          <w:sz w:val="20"/>
        </w:rPr>
        <w:t>Home Stretch is being delivered via Better Futures. Home Stretch offers young people and their kinship, foster and permanent carers the option of the young person remaining with their carer up to the age of 21 years, supported by an allowance. Young people transitioning to independent living will be eligible for an allowance to support them up to 21 years of age. The Home Stretch allowance is used for accommodation and other costs which support the young person’s transition goals identified in their planning.</w:t>
      </w:r>
      <w:r>
        <w:br/>
      </w:r>
      <w:r>
        <w:br/>
      </w:r>
      <w:r>
        <w:rPr>
          <w:rFonts w:ascii="Arial" w:hAnsi="Arial" w:eastAsia="Arial" w:cs="Arial"/>
          <w:color w:val="000000"/>
          <w:sz w:val="20"/>
        </w:rPr>
        <w:t>Home Stretch includes three levels of support:</w:t>
      </w:r>
      <w:r>
        <w:br/>
      </w:r>
      <w:r>
        <w:rPr>
          <w:rFonts w:ascii="Arial" w:hAnsi="Arial" w:eastAsia="Arial" w:cs="Arial"/>
          <w:color w:val="000000"/>
          <w:sz w:val="20"/>
        </w:rPr>
        <w:t>• Brief intervention – (10 hours) – Home Stretch</w:t>
      </w:r>
      <w:r>
        <w:br/>
      </w:r>
      <w:r>
        <w:rPr>
          <w:rFonts w:ascii="Arial" w:hAnsi="Arial" w:eastAsia="Arial" w:cs="Arial"/>
          <w:color w:val="000000"/>
          <w:sz w:val="20"/>
        </w:rPr>
        <w:t>• Foundation (40 hours) – Home Stretch</w:t>
      </w:r>
      <w:r>
        <w:br/>
      </w:r>
      <w:r>
        <w:rPr>
          <w:rFonts w:ascii="Arial" w:hAnsi="Arial" w:eastAsia="Arial" w:cs="Arial"/>
          <w:color w:val="000000"/>
          <w:sz w:val="20"/>
        </w:rPr>
        <w:t>• Sustained (110 hours) – Home Stretch</w:t>
      </w:r>
      <w:r>
        <w:br/>
      </w:r>
      <w:r>
        <w:br/>
      </w:r>
      <w:r>
        <w:rPr>
          <w:rFonts w:ascii="Arial" w:hAnsi="Arial" w:eastAsia="Arial" w:cs="Arial"/>
          <w:color w:val="000000"/>
          <w:sz w:val="20"/>
        </w:rPr>
        <w:t xml:space="preserve">Advantaged Thinking </w:t>
      </w:r>
      <w:r>
        <w:br/>
      </w:r>
      <w:r>
        <w:rPr>
          <w:rFonts w:ascii="Arial" w:hAnsi="Arial" w:eastAsia="Arial" w:cs="Arial"/>
          <w:color w:val="000000"/>
          <w:sz w:val="20"/>
        </w:rPr>
        <w:t>Better Futures is supported by the Advantaged Thinking approach. The Better Futures (Advantaged Thinking) Practice Framework guides workers to work in an ‘Advantaged Thinking way’, engaging with young people using a strengths-based approach, recognising and building on their talents and aspirations, as well as assisting them to overcome challenges, and harnessing community effort.</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target group for Individual Child and Family Support - Better Futures is young people leaving care/post care aged 15 years and 9 months to 21 years.</w:t>
      </w:r>
      <w:r>
        <w:br/>
      </w:r>
      <w:r>
        <w:br/>
      </w:r>
      <w:r>
        <w:rPr>
          <w:rFonts w:ascii="Arial" w:hAnsi="Arial" w:eastAsia="Arial" w:cs="Arial"/>
          <w:color w:val="000000"/>
          <w:sz w:val="20"/>
        </w:rPr>
        <w:t>To be eligible for Better Futures support, a young person must be in/have been in kinship care, foster care, permanent care or residential care on or after their 16th birthday and on one of the following orders.</w:t>
      </w:r>
      <w:r>
        <w:br/>
      </w:r>
      <w:r>
        <w:rPr>
          <w:rFonts w:ascii="Arial" w:hAnsi="Arial" w:eastAsia="Arial" w:cs="Arial"/>
          <w:color w:val="000000"/>
          <w:sz w:val="20"/>
        </w:rPr>
        <w:t>• Care by Secretary Order</w:t>
      </w:r>
      <w:r>
        <w:br/>
      </w:r>
      <w:r>
        <w:rPr>
          <w:rFonts w:ascii="Arial" w:hAnsi="Arial" w:eastAsia="Arial" w:cs="Arial"/>
          <w:color w:val="000000"/>
          <w:sz w:val="20"/>
        </w:rPr>
        <w:t>• Long-Term Care Order</w:t>
      </w:r>
      <w:r>
        <w:br/>
      </w:r>
      <w:r>
        <w:rPr>
          <w:rFonts w:ascii="Arial" w:hAnsi="Arial" w:eastAsia="Arial" w:cs="Arial"/>
          <w:color w:val="000000"/>
          <w:sz w:val="20"/>
        </w:rPr>
        <w:t xml:space="preserve">• Family Reunification Order  </w:t>
      </w:r>
      <w:r>
        <w:br/>
      </w:r>
      <w:r>
        <w:rPr>
          <w:rFonts w:ascii="Arial" w:hAnsi="Arial" w:eastAsia="Arial" w:cs="Arial"/>
          <w:color w:val="000000"/>
          <w:sz w:val="20"/>
        </w:rPr>
        <w:t>• Permanent Care Order</w:t>
      </w:r>
      <w:r>
        <w:br/>
      </w:r>
      <w:r>
        <w:br/>
      </w:r>
      <w:r>
        <w:rPr>
          <w:rFonts w:ascii="Arial" w:hAnsi="Arial" w:eastAsia="Arial" w:cs="Arial"/>
          <w:color w:val="000000"/>
          <w:sz w:val="20"/>
        </w:rPr>
        <w:t>Home Stretch is available to:</w:t>
      </w:r>
      <w:r>
        <w:br/>
      </w:r>
      <w:r>
        <w:rPr>
          <w:rFonts w:ascii="Arial" w:hAnsi="Arial" w:eastAsia="Arial" w:cs="Arial"/>
          <w:color w:val="000000"/>
          <w:sz w:val="20"/>
        </w:rPr>
        <w:t>• Young people on a family reunification order, a care by secretary order or a long-term care order and leaving care services from 16 years of age.</w:t>
      </w:r>
      <w:r>
        <w:br/>
      </w:r>
      <w:r>
        <w:rPr>
          <w:rFonts w:ascii="Arial" w:hAnsi="Arial" w:eastAsia="Arial" w:cs="Arial"/>
          <w:color w:val="000000"/>
          <w:sz w:val="20"/>
        </w:rPr>
        <w:t>• Young people subject to permanent care orders and residing with their carers immediately prior to their 18th birthday.</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numPr>
          <w:ilvl w:val="0"/>
          <w:numId w:val="7"/>
        </w:numPr>
        <w:spacing w:after="40" w:line="270" w:lineRule="atLeast"/>
        <w:rPr>
          <w:rFonts w:ascii="Arial" w:hAnsi="Arial" w:eastAsia="Arial" w:cs="Arial"/>
          <w:color w:val="000000"/>
          <w:sz w:val="20"/>
        </w:rPr>
      </w:pPr>
      <w:r>
        <w:rPr>
          <w:rFonts w:ascii="Arial" w:hAnsi="Arial" w:eastAsia="Arial" w:cs="Arial"/>
          <w:color w:val="000000"/>
          <w:sz w:val="20"/>
        </w:rPr>
        <w:t>Registration under the Children, Youth and Families Act 2005</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Care and Transition Planning for Young People Leaving Care Framework</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&lt;https://providers.dffh.vic.gov.au/care-and-transition-planning-leaving-care-framework-word&gt;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Program Requirements for Residential Care Services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&lt;https://providers.dffh.vic.gov.au/program-requirements-residential-care-victoria-oct-2016-word&gt;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Better Futures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&lt;https://providers.dffh.vic.gov.au/leaving-care&gt;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Home Stretch Practice Advice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&lt;https://providers.dffh.vic.gov.au/leaving-care&gt;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Commonwealth Transitioning to Independence from out-of-home care (2009-2020)</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&lt;https://www.dss.gov.au/our-responsibilities/families-and-children/publications-articles/transitioning-to-independence-from-out-of-home-care-discussion-paper?HTML&gt;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Better Futures Performance and Reporting Practice Advice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&lt;https://providers.dffh.vic.gov.au/better-futures-performance-and-reporting-practice-advice&gt;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Better Futures Outcomes Measurement Practice Advice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&lt;https://providers.dffh.vic.gov.au/better-futures-outcomes-measurement-practice-advice&gt;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clients in receipt of board</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Number of service hours - Better Futures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information about the number of service (agency) hours provided directly to young people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service hours provided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Better Futures – Home Stretch (via CRISSP)</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Better Futures Outcomes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3: Number of service hours - Home Stretch</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information about the number of service (agency) hours provided directly to young people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This performance measure provides information about the number of service (agency) hours provided directly to young people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service hours provided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Better Futures – Home Stretch (via CRISSP)</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4: Number of new cases - Home Stretch</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Better Futures or Home Stretch service hours provided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5: Number of new cases - Better Futures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Count the number of Better Futures or Home Stretch service hours provided during the reporting period.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Better Futures Outcomes</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Outcomes Tracking System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Better Futures Question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Better Futures – Home Stretch (via CRISSP)</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CRISSP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Better Futures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September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8"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Child Protection and Family Services 31290 Individual, Child and Family Support - Better Futures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