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roviders.dffh.vic.gov.au/families-fairness-housing-health-activity-search"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sapolicy@dffh.vic.gov.au"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providers.dffh.vic.gov.au/parenting-support" TargetMode="External"/><Relationship Id="rId5" Type="http://schemas.openxmlformats.org/officeDocument/2006/relationships/theme" Target="theme/theme1.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D2E7270-61AA-45C5-A29B-8350441183F9}"/>
</file>

<file path=customXml/itemProps2.xml><?xml version="1.0" encoding="utf-8"?>
<ds:datastoreItem xmlns:ds="http://schemas.openxmlformats.org/officeDocument/2006/customXml" ds:itemID="{64607044-9221-47E9-9BBD-21E8BB0C8955}"/>
</file>

<file path=customXml/itemProps3.xml><?xml version="1.0" encoding="utf-8"?>
<ds:datastoreItem xmlns:ds="http://schemas.openxmlformats.org/officeDocument/2006/customXml" ds:itemID="{BAFF31EA-10D0-45CA-B434-70569F7C0CB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Supported Playgroups 31286</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Supported Playgroups</w:t>
            </w:r>
          </w:p>
          <w:p>
            <w:pPr>
              <w:spacing w:line="560" w:lineRule="atLeast"/>
              <w:rPr>
                <w:rFonts w:ascii="Arial" w:hAnsi="Arial" w:eastAsia="Arial" w:cs="Arial"/>
                <w:color w:val="201547"/>
                <w:sz w:val="44"/>
              </w:rPr>
            </w:pPr>
            <w:r>
              <w:rPr>
                <w:rFonts w:ascii="Arial" w:hAnsi="Arial" w:eastAsia="Arial" w:cs="Arial"/>
                <w:color w:val="201547"/>
                <w:sz w:val="44"/>
              </w:rPr>
              <w:t>31286</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Family And Community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Supported Playgroups are provided to families experiencing disadvantage to assist parents to develop the skills and confidence to improve the early home learning environment and promote their children’s wellbeing and development. Parents also learn about local services and develop social support networks with other parents.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Supported Playgroups are led by qualified facilitators who deliver an evidence-based parenting support intervention (smalltalk) to families in the target group. </w:t>
      </w:r>
      <w:r>
        <w:br/>
      </w:r>
      <w:r>
        <w:rPr>
          <w:rFonts w:ascii="Arial" w:hAnsi="Arial" w:eastAsia="Arial" w:cs="Arial"/>
          <w:color w:val="000000"/>
          <w:sz w:val="20"/>
        </w:rPr>
        <w:t xml:space="preserve">Some families may also be eligible for In-Home Support/ Parent Coaching (see Target Group in the Supported Playgroups, Policy and Funding Guidelines) which provides more intensive one-on-one support to eligible families.  </w:t>
      </w:r>
      <w:r>
        <w:br/>
      </w:r>
      <w:r>
        <w:rPr>
          <w:rFonts w:ascii="Arial" w:hAnsi="Arial" w:eastAsia="Arial" w:cs="Arial"/>
          <w:color w:val="000000"/>
          <w:sz w:val="20"/>
        </w:rPr>
        <w:t>Local government and community service organisations are funded to deliver the program.</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group for this activity is families with children aged 0-4 years who fulfil the eligibility criteria outlined in the Supported Playgroup Policy and Funding Guidelines.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Supported Parent Groups and Playgroups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&lt;https://providers.dffh.vic.gov.au/parenting-support&gt;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clients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on the number of clients (families) enrolled in Supported Playgroups and the number of clients (families) receiving In-Home Support.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The number of clients (families) enrolled in Supported Playgroups each term </w:t>
            </w:r>
            <w:r>
              <w:br/>
            </w:r>
            <w:r>
              <w:rPr>
                <w:rFonts w:ascii="Arial" w:hAnsi="Arial" w:eastAsia="Arial" w:cs="Arial"/>
                <w:color w:val="000000"/>
                <w:sz w:val="20"/>
              </w:rPr>
              <w:t>Number of clients (families) receiving In-Home Support each term.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Number of clients (families) receiving In-Home Support (each term and at the end of the calendar year)</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Number of clients (families) enrolled in Supported Playgroups each term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client is defined as a family which includes parents/carers and children</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groups delivered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on the number of Supported Playgroups delivered each term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number of Supported Playgroups delivered each term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The number of Supported Playgroups delivered each term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Supported Playgroup is playgroup where smalltalk is delivered by a qualified facilitator.</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Number of clients (families) receiving In-Home Support (each term and at the end of the calendar year)</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Supported Playgroup data - Reporting due within two weeks of the end of each school term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The number of Supported Playgroups delivered each term</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Supported Playgroup data - Reporting due within two weeks of the end of each school term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Number of clients (families) enrolled in Supported Playgroups each term</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Supported Playgroup data - Reporting due within two weeks of the end of each school term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 xml:space="preserve">To receive this publication in an accessible format </w:t>
            </w:r>
            <w:r>
              <w:rPr>
                <w:rFonts w:ascii="Arial" w:hAnsi="Arial" w:eastAsia="Arial" w:cs="Arial"/>
                <w:color w:val="000000"/>
                <w:sz w:val="20"/>
              </w:rPr>
              <w:t>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2" w:tgtFrame="_blank" w:history="1">
              <w:r>
                <w:rPr>
                  <w:rFonts w:ascii="Arial" w:hAnsi="Arial" w:eastAsia="Arial" w:cs="Arial"/>
                  <w:color w:val="3366FF"/>
                  <w:sz w:val="24"/>
                </w:rPr>
                <w:t>&lt;sapolicy@dffh.vic.gov.au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January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692"/>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3"/>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31286 Supported Playgroups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