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Parenting Advice and Education Services 31243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www.dffh.vic.gov.au/publications/best-interests-case-practice-model-summary-guide" TargetMode="External"/>
<Relationship Id="rId12" Type="http://schemas.openxmlformats.org/officeDocument/2006/relationships/hyperlink" Target="https://providers.dffh.vic.gov.au/best-interests-framework-vulnerable-children-and-youth-pdf" TargetMode="External"/>
<Relationship Id="rId13" Type="http://schemas.openxmlformats.org/officeDocument/2006/relationships/hyperlink" Target="https://providers.dffh.vic.gov.au/human-services-standards" TargetMode="External"/>
<Relationship Id="rId14" Type="http://schemas.openxmlformats.org/officeDocument/2006/relationships/hyperlink" Target="https://providers.dffh.vic.gov.au/children-youth-and-families" TargetMode="External"/>
<Relationship Id="rId15" Type="http://schemas.openxmlformats.org/officeDocument/2006/relationships/hyperlink" Target="http://providers.dffh.vic.gov.au/families-fairness-housing-health-activity-search" TargetMode="External"/>
<Relationship Id="rId16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Parenting Advice and Education Services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31243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have capabilities to participate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Child Protection and Family Services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Family And Community Services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Parenting advice and education services aim to:</w:t>
      </w:r>
      <w:r>
        <w:br/>
      </w:r>
      <w:r>
        <w:rPr>
          <w:rFonts w:ascii="Arial" w:hAnsi="Arial" w:eastAsia="Arial" w:cs="Arial"/>
          <w:color w:val="000000"/>
          <w:sz w:val="20"/>
        </w:rPr>
        <w:t>•	support parents experiencing difficulties coping with their child/ren’s challenging behaviour, particularly during key age and stage childhood transitions, from birth through to adolescence</w:t>
      </w:r>
      <w:r>
        <w:br/>
      </w:r>
      <w:r>
        <w:rPr>
          <w:rFonts w:ascii="Arial" w:hAnsi="Arial" w:eastAsia="Arial" w:cs="Arial"/>
          <w:color w:val="000000"/>
          <w:sz w:val="20"/>
        </w:rPr>
        <w:t>•	provide parenting information, advice, education resources and referrals to support services where required, as well as training and consultancy to parenting service professionals.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Parenting advice and education services assist eligible parents to develop parenting skills and knowledge associated with positive, protective, parent/child relationships and social competencies in children. Parenting advice and education services are broadly based on the positive parenting program (Triple P).</w:t>
      </w:r>
      <w:r>
        <w:br/>
      </w:r>
      <w:r>
        <w:rPr>
          <w:rFonts w:ascii="Arial" w:hAnsi="Arial" w:eastAsia="Arial" w:cs="Arial"/>
          <w:color w:val="000000"/>
          <w:sz w:val="20"/>
        </w:rPr>
        <w:t>Parenting advice and education services are generally provided over an eight week period through group sessions, individual interventions or telephone advice services.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client group this activity is targeted at is parents with children up to 10 years old, who are experiencing difficulties parenting their child/ren’s challenging behaviour.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Independent review and accreditation against the department’s Human Services Standards, unless exempted.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Best Interests Case Practice Model - Summary Guide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&lt;https://www.dffh.vic.gov.au/publications/best-interests-case-practice-model-summary-guide&gt;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The Best Interests Framework for Vulnerable Children and Youth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&lt;https://providers.dffh.vic.gov.au/best-interests-framework-vulnerable-children-and-youth-pdf&gt;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3" w:tgtFrame="_blank" w:history="1">
        <w:r>
          <w:rPr>
            <w:rFonts w:ascii="Arial" w:hAnsi="Arial" w:eastAsia="Arial" w:cs="Arial"/>
            <w:color w:val="3366FF"/>
            <w:sz w:val="20"/>
          </w:rPr>
          <w:t>Social Services Standards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&lt;https://providers.dffh.vic.gov.au/human-services-standards&gt;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4" w:tgtFrame="_blank" w:history="1">
        <w:r>
          <w:rPr>
            <w:rFonts w:ascii="Arial" w:hAnsi="Arial" w:eastAsia="Arial" w:cs="Arial"/>
            <w:color w:val="3366FF"/>
            <w:sz w:val="20"/>
          </w:rPr>
          <w:t>Child and family services transfer to Aboriginal Community Controlled Organisations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&lt;https://providers.dffh.vic.gov.au/children-youth-and-families&gt;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clients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This performance measure provides quantitative information about the number of clients provided with Parenting advice and education services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number of new clients who receive a service during the reporting period.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Example: Total number of new clients = 100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Parenting advice and education services (PAES) data set (PAES excel spreadsheet)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 client is defined as a parent who receives parenting advice and education services, or a professional receiving either training or consultancy during the reporting period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Parenting advice and education services (PAES) data set (PAES excel spreadsheet)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March 2026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5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Child Protection and Family Services 31243 Parenting Advice and Education Services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