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Education Support Programs for Children in Care 31219</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children-residential-care-program-requirements-word" TargetMode="External"/>
<Relationship Id="rId12" Type="http://schemas.openxmlformats.org/officeDocument/2006/relationships/hyperlink" Target="http://www.cpmanual.vic.gov.au/policies-and-procedures/out-home-care/leaving-care"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Education Support Programs for Children in Care</w:t>
            </w:r>
          </w:p>
          <w:p>
            <w:pPr>
              <w:spacing w:line="560" w:lineRule="atLeast"/>
              <w:rPr>
                <w:rFonts w:ascii="Arial" w:hAnsi="Arial" w:eastAsia="Arial" w:cs="Arial"/>
                <w:color w:val="201547"/>
                <w:sz w:val="44"/>
              </w:rPr>
            </w:pPr>
            <w:r>
              <w:rPr>
                <w:rFonts w:ascii="Arial" w:hAnsi="Arial" w:eastAsia="Arial" w:cs="Arial"/>
                <w:color w:val="201547"/>
                <w:sz w:val="44"/>
              </w:rPr>
              <w:t>31219</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Specialist Support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access to specialist education support programs to school-aged children and young people in care to reach their educational potential and where possible engage in a school environment.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To deliver education support programs for children in care to provide education related support services for school-aged children and young people residing in care services. The State Government supports education support programs for children in care to have clear educational content and outcomes and be flexible to allow for different learning styles and academic levels.  </w:t>
      </w:r>
      <w:r>
        <w:br/>
      </w:r>
      <w:r>
        <w:br/>
      </w:r>
      <w:r>
        <w:rPr>
          <w:rFonts w:ascii="Arial" w:hAnsi="Arial" w:eastAsia="Arial" w:cs="Arial"/>
          <w:color w:val="000000"/>
          <w:sz w:val="20"/>
        </w:rPr>
        <w:t xml:space="preserve">The Children in Residential Care (CIRC) program provides a therapeutic education related support service for school-aged children and young people residing in residential care. </w:t>
      </w:r>
      <w:r>
        <w:br/>
      </w:r>
      <w:r>
        <w:br/>
      </w:r>
      <w:r>
        <w:rPr>
          <w:rFonts w:ascii="Arial" w:hAnsi="Arial" w:eastAsia="Arial" w:cs="Arial"/>
          <w:color w:val="000000"/>
          <w:sz w:val="20"/>
        </w:rPr>
        <w:t>The Education Support for Children in Care (ESCC) pilot provides qualified teachers to deliver personalised tutoring to children and young people and advocate to address barriers to school engagement.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school-aged children in care who are eligible to participate in an education support program for children in care. When demand for services is high, those children most in need of educational support must have priority access to the education support programs for children in care.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Program requirements for Children in Residential Care (CIRC) program</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&lt;https://providers.dffh.vic.gov.au/children-residential-care-program-requirements-word&gt;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Child Protection Practice Manual – leaving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&lt;http://www.cpmanual.vic.gov.au/policies-and-procedures/out-home-care/leaving-care&gt;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in care receiving specialist educational support services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Sum of new clients receiving a service per quarter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Quarterly Data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 refers to children/young people in the target group for this service as specified in the Children Youth and Families Act and DFFH program guidelines.</w:t>
            </w:r>
            <w:r>
              <w:br/>
            </w:r>
            <w:r>
              <w:rPr>
                <w:rFonts w:ascii="Arial" w:hAnsi="Arial" w:eastAsia="Arial" w:cs="Arial"/>
                <w:color w:val="000000"/>
                <w:sz w:val="20"/>
              </w:rPr>
              <w:t>Service means the education support service that is provided as outlined in key performance measure 1</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Daily average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daily number of clients in care receiving specialist educational support services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Client refers to children/young people in the target group for this service as specified in the Children Youth and Families Act 2005.  </w:t>
            </w:r>
            <w:r>
              <w:br/>
            </w:r>
            <w:r>
              <w:rPr>
                <w:rFonts w:ascii="Arial" w:hAnsi="Arial" w:eastAsia="Arial" w:cs="Arial"/>
                <w:color w:val="000000"/>
                <w:sz w:val="20"/>
              </w:rPr>
              <w:t>Services refers to the education support service provided by specialist education support workers and other qualified staff including assessment, development of individual education plans, individual and small group tutoring, transition arrangements for study / job program and other targeted education supports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Counting rule	Daily average number is the daily number of clients during the reporting period divided by the number of reporting period days (i.e. quarter 1 = 31+31+30 = 92 days).  </w:t>
            </w:r>
            <w:r>
              <w:br/>
            </w:r>
            <w:r>
              <w:rPr>
                <w:rFonts w:ascii="Arial" w:hAnsi="Arial" w:eastAsia="Arial" w:cs="Arial"/>
                <w:color w:val="000000"/>
                <w:sz w:val="20"/>
              </w:rPr>
              <w:t xml:space="preserve">Number of days of service in the reporting period, divided by number of days in the reporting period. </w:t>
            </w:r>
            <w:r>
              <w:br/>
            </w:r>
            <w:r>
              <w:rPr>
                <w:rFonts w:ascii="Arial" w:hAnsi="Arial" w:eastAsia="Arial" w:cs="Arial"/>
                <w:color w:val="000000"/>
                <w:sz w:val="20"/>
              </w:rPr>
              <w:t xml:space="preserve">For example: </w:t>
            </w:r>
            <w:r>
              <w:br/>
            </w:r>
            <w:r>
              <w:rPr>
                <w:rFonts w:ascii="Arial" w:hAnsi="Arial" w:eastAsia="Arial" w:cs="Arial"/>
                <w:color w:val="000000"/>
                <w:sz w:val="20"/>
              </w:rPr>
              <w:t xml:space="preserve">Number of days service provided per quarter = 166  </w:t>
            </w:r>
            <w:r>
              <w:br/>
            </w:r>
            <w:r>
              <w:rPr>
                <w:rFonts w:ascii="Arial" w:hAnsi="Arial" w:eastAsia="Arial" w:cs="Arial"/>
                <w:color w:val="000000"/>
                <w:sz w:val="20"/>
              </w:rPr>
              <w:t xml:space="preserve">Total days per quarter = 92 </w:t>
            </w:r>
            <w:r>
              <w:br/>
            </w:r>
            <w:r>
              <w:rPr>
                <w:rFonts w:ascii="Arial" w:hAnsi="Arial" w:eastAsia="Arial" w:cs="Arial"/>
                <w:color w:val="000000"/>
                <w:sz w:val="20"/>
              </w:rPr>
              <w:t>166/92 = 1.804</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Quarterly Data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ESCC Monthly Data Report, Including Quarterly Brokerage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Client refers to children/young people in the target group for this service as specified in the Children Youth and Families Act 2005.  </w:t>
            </w:r>
            <w:r>
              <w:br/>
            </w:r>
            <w:r>
              <w:rPr>
                <w:rFonts w:ascii="Arial" w:hAnsi="Arial" w:eastAsia="Arial" w:cs="Arial"/>
                <w:color w:val="000000"/>
                <w:sz w:val="20"/>
              </w:rPr>
              <w:t>Services refers to the education support service provided by specialist education support workers and other qualified staff including assessment, development of individual education plans, individual and small group tutoring, transition arrangements for study / job program and other targeted education supports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 Data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ESCC Monthly Data Report, Including Quarterly Brokerage Acquittal</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October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31219 Education Support Programs for Children in Care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