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Out of Home Care - Targeted Care Packages 31209</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vic.gov.au/as-made/statutory-rules/social-services-regulations-2023" TargetMode="External"/>
<Relationship Id="rId12" Type="http://schemas.openxmlformats.org/officeDocument/2006/relationships/hyperlink" Target="https://www.vic.gov.au/social-services-regulator" TargetMode="External"/>
<Relationship Id="rId13" Type="http://schemas.openxmlformats.org/officeDocument/2006/relationships/hyperlink" Target="https://providers.dffh.vic.gov.au/human-services-standards" TargetMode="External"/>
<Relationship Id="rId14" Type="http://schemas.openxmlformats.org/officeDocument/2006/relationships/hyperlink" Target="https://providers.dffh.vic.gov.au/program-requirements-out-home-care-services" TargetMode="External"/>
<Relationship Id="rId15" Type="http://schemas.openxmlformats.org/officeDocument/2006/relationships/hyperlink" Target="https://fac.dhhs.vic.gov.au/policies-and-procedures" TargetMode="External"/>
<Relationship Id="rId16" Type="http://schemas.openxmlformats.org/officeDocument/2006/relationships/hyperlink" Target="https://providers.dffh.vic.gov.au/requirements-home-based-care-victoria-interim-revised-edition-april-2014-word" TargetMode="External"/>
<Relationship Id="rId17" Type="http://schemas.openxmlformats.org/officeDocument/2006/relationships/hyperlink" Target="https://providers.dffh.vic.gov.au/program-requirements-family-and-early-parenting-services-victoria-word" TargetMode="External"/>
<Relationship Id="rId18" Type="http://schemas.openxmlformats.org/officeDocument/2006/relationships/hyperlink" Target="https://providers.dffh.vic.gov.au/program-requirements-out-home-care-services" TargetMode="External"/>
<Relationship Id="rId19" Type="http://schemas.openxmlformats.org/officeDocument/2006/relationships/hyperlink" Target="https://services.dffh.vic.gov.au/support-home-based-carers-victoria" TargetMode="External"/>
<Relationship Id="rId20" Type="http://schemas.openxmlformats.org/officeDocument/2006/relationships/hyperlink" Target="https://providers.dffh.vic.gov.au/children-youth-and-families" TargetMode="External"/>
<Relationship Id="rId21" Type="http://schemas.openxmlformats.org/officeDocument/2006/relationships/hyperlink" Target="http://providers.dffh.vic.gov.au/families-fairness-housing-health-activity-search" TargetMode="External"/>
<Relationship Id="rId22"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Out of Home Care - Targeted Care Packages</w:t>
            </w:r>
          </w:p>
          <w:p>
            <w:pPr>
              <w:spacing w:line="560" w:lineRule="atLeast"/>
              <w:rPr>
                <w:rFonts w:ascii="Arial" w:hAnsi="Arial" w:eastAsia="Arial" w:cs="Arial"/>
                <w:color w:val="201547"/>
                <w:sz w:val="44"/>
              </w:rPr>
            </w:pPr>
            <w:r>
              <w:rPr>
                <w:rFonts w:ascii="Arial" w:hAnsi="Arial" w:eastAsia="Arial" w:cs="Arial"/>
                <w:color w:val="201547"/>
                <w:sz w:val="44"/>
              </w:rPr>
              <w:t>31209</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Placement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Targeted care packages provide an opportunity to ensure more children and young people receive innovative, flexible and client centred care. Targeted care packages are used to support children and young people to transition from residential care into an alternative living arrangement that better meets their needs, as well as to prevent entry into residential care.</w:t>
      </w:r>
      <w:r>
        <w:br/>
      </w:r>
      <w:r>
        <w:rPr>
          <w:rFonts w:ascii="Arial" w:hAnsi="Arial" w:eastAsia="Arial" w:cs="Arial"/>
          <w:color w:val="000000"/>
          <w:sz w:val="20"/>
        </w:rPr>
        <w:t>Targeted care packages are available to support children and young people in circumstances where:</w:t>
      </w:r>
      <w:r>
        <w:br/>
      </w:r>
      <w:r>
        <w:rPr>
          <w:rFonts w:ascii="Arial" w:hAnsi="Arial" w:eastAsia="Arial" w:cs="Arial"/>
          <w:color w:val="000000"/>
          <w:sz w:val="20"/>
        </w:rPr>
        <w:t>•	their needs would be better met in an alternative form of placement other than residential care</w:t>
      </w:r>
      <w:r>
        <w:br/>
      </w:r>
      <w:r>
        <w:rPr>
          <w:rFonts w:ascii="Arial" w:hAnsi="Arial" w:eastAsia="Arial" w:cs="Arial"/>
          <w:color w:val="000000"/>
          <w:sz w:val="20"/>
        </w:rPr>
        <w:t>•	other existing models of care, or levels of support available, are insufficient to support successful transition from residential care</w:t>
      </w:r>
      <w:r>
        <w:br/>
      </w:r>
      <w:r>
        <w:rPr>
          <w:rFonts w:ascii="Arial" w:hAnsi="Arial" w:eastAsia="Arial" w:cs="Arial"/>
          <w:color w:val="000000"/>
          <w:sz w:val="20"/>
        </w:rPr>
        <w:t>•	other existing models of care, or levels of support available, are insufficient to prevent a child or young person from entering residential care.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A targeted care package is an allocation of funding attached to a specific child or young person and based on an assessment of that child’s needs. A targeted care package provides funds for one or a number of clearly articulated supports to meet the child’s needs and is available for as long as the child needs (subject to review). The placements/living arrangements which can be considered as part of a targeted care package are:</w:t>
      </w:r>
      <w:r>
        <w:br/>
      </w:r>
      <w:r>
        <w:rPr>
          <w:rFonts w:ascii="Arial" w:hAnsi="Arial" w:eastAsia="Arial" w:cs="Arial"/>
          <w:color w:val="000000"/>
          <w:sz w:val="20"/>
        </w:rPr>
        <w:t>•	home</w:t>
      </w:r>
      <w:r>
        <w:br/>
      </w:r>
      <w:r>
        <w:rPr>
          <w:rFonts w:ascii="Arial" w:hAnsi="Arial" w:eastAsia="Arial" w:cs="Arial"/>
          <w:color w:val="000000"/>
          <w:sz w:val="20"/>
        </w:rPr>
        <w:t xml:space="preserve">•	independent living </w:t>
      </w:r>
      <w:r>
        <w:br/>
      </w:r>
      <w:r>
        <w:rPr>
          <w:rFonts w:ascii="Arial" w:hAnsi="Arial" w:eastAsia="Arial" w:cs="Arial"/>
          <w:color w:val="000000"/>
          <w:sz w:val="20"/>
        </w:rPr>
        <w:t>•	kinship</w:t>
      </w:r>
      <w:r>
        <w:br/>
      </w:r>
      <w:r>
        <w:rPr>
          <w:rFonts w:ascii="Arial" w:hAnsi="Arial" w:eastAsia="Arial" w:cs="Arial"/>
          <w:color w:val="000000"/>
          <w:sz w:val="20"/>
        </w:rPr>
        <w:t>•	foster care</w:t>
      </w:r>
      <w:r>
        <w:br/>
      </w:r>
      <w:r>
        <w:rPr>
          <w:rFonts w:ascii="Arial" w:hAnsi="Arial" w:eastAsia="Arial" w:cs="Arial"/>
          <w:color w:val="000000"/>
          <w:sz w:val="20"/>
        </w:rPr>
        <w:t>•	semi-independent living/lead tenant.</w:t>
      </w:r>
      <w:r>
        <w:br/>
      </w:r>
      <w:r>
        <w:rPr>
          <w:rFonts w:ascii="Arial" w:hAnsi="Arial" w:eastAsia="Arial" w:cs="Arial"/>
          <w:color w:val="000000"/>
          <w:sz w:val="20"/>
        </w:rPr>
        <w:t xml:space="preserve">Key workers are a core part of most targeted care packages. The key worker has a pivotal role in supporting the implementation of the targeted care package by providing case management functions consistent with the child or young person’s case plan and cultural support plan. </w:t>
      </w:r>
      <w:r>
        <w:br/>
      </w:r>
      <w:r>
        <w:rPr>
          <w:rFonts w:ascii="Arial" w:hAnsi="Arial" w:eastAsia="Arial" w:cs="Arial"/>
          <w:color w:val="000000"/>
          <w:sz w:val="20"/>
        </w:rPr>
        <w:t>Standardised hourly payment rates for key worker services have been established to provide a fair and reasonable cost for services and to support consistent application of key worker costs across individual clients and divisions statewide.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Only children and young people subject to a statutory child protection order are eligible for a targeted care package.</w:t>
      </w:r>
      <w:r>
        <w:br/>
      </w:r>
      <w:r>
        <w:rPr>
          <w:rFonts w:ascii="Arial" w:hAnsi="Arial" w:eastAsia="Arial" w:cs="Arial"/>
          <w:color w:val="000000"/>
          <w:sz w:val="20"/>
        </w:rPr>
        <w:t>Existing service options should be considered first before referring to targeted care packages.</w:t>
      </w:r>
      <w:r>
        <w:br/>
      </w:r>
      <w:r>
        <w:rPr>
          <w:rFonts w:ascii="Arial" w:hAnsi="Arial" w:eastAsia="Arial" w:cs="Arial"/>
          <w:color w:val="000000"/>
          <w:sz w:val="20"/>
        </w:rPr>
        <w:t>The priority cohorts for targeted care packages are Aboriginal children and young people, children aged 12 years and under, and children and young people with a disability. However this does not mean that only these children are eligible for a targeted care package. Any child or young person in residential care is potentially eligible to receive a targeted care package.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Providers of social services in Victoria who are in scope of the scheme must register with the Social Services Regulator (SSR) and comply with legislative requirements under the Social Services Regulation Act. Refer to the definitions in Part 1 of the Social Services Regulations 2023 (</w:t>
      </w:r>
      <w:hyperlink r:id="rId11" w:tgtFrame="_blank" w:history="1">
        <w:r>
          <w:rPr>
            <w:rFonts w:ascii="Arial" w:hAnsi="Arial" w:eastAsia="Arial" w:cs="Arial"/>
            <w:color w:val="3366FF"/>
            <w:sz w:val="20"/>
          </w:rPr>
          <w:t>https://www.legislation.vic.gov.au/as-made/statutory-rules/social-services-regulations-2023</w:t>
        </w:r>
      </w:hyperlink>
      <w:r>
        <w:rPr>
          <w:rFonts w:ascii="Arial" w:hAnsi="Arial" w:eastAsia="Arial" w:cs="Arial"/>
          <w:color w:val="000000"/>
          <w:sz w:val="20"/>
        </w:rPr>
        <w:t>) and the SSR website (</w:t>
      </w:r>
      <w:hyperlink r:id="rId12" w:tgtFrame="_blank" w:history="1">
        <w:r>
          <w:rPr>
            <w:rFonts w:ascii="Arial" w:hAnsi="Arial" w:eastAsia="Arial" w:cs="Arial"/>
            <w:color w:val="3366FF"/>
            <w:sz w:val="20"/>
          </w:rPr>
          <w:t>https://www.vic.gov.au/social-services-regulator</w:t>
        </w:r>
      </w:hyperlink>
      <w:r>
        <w:rPr>
          <w:rFonts w:ascii="Arial" w:hAnsi="Arial" w:eastAsia="Arial" w:cs="Arial"/>
          <w:color w:val="000000"/>
          <w:sz w:val="20"/>
        </w:rPr>
        <w:t>) to determine if services are in scope of registration.</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Program requirements for lead tenant services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Targeted Care Packages implementation manual and forms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&lt;https://fac.dhhs.vic.gov.au/policies-and-procedures&gt;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Program Requirements for Home-Based Care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&lt;https://providers.dffh.vic.gov.au/requirements-home-based-care-victoria-interim-revised-edition-april-2014-word&gt;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Program Requirements for Family and Early Parenting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&lt;https://providers.dffh.vic.gov.au/program-requirements-family-and-early-parenting-services-victoria-word&gt;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Guide to emergency use of physical restraint in care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Support for home-based carers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&lt;https://services.dffh.vic.gov.au/support-home-based-carers-victoria&gt;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Child and family services transfer to Aboriginal Community Controlled Organisations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&lt;https://providers.dffh.vic.gov.au/children-youth-and-families&gt;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Number of effective full time places (EFTs)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Number of packages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 Individual Support Packages Funding and EFT Acquittal</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Individual support package acquittal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Manual Data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Divisional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June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1"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31209 Out of Home Care - Targeted Care Packages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