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Secure Welfare Service 31208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human-services-standards" TargetMode="External"/>
<Relationship Id="rId12" Type="http://schemas.openxmlformats.org/officeDocument/2006/relationships/hyperlink" Target="http://www.cpmanual.vic.gov.au/policies-and-procedures/out-home-care/leaving-care" TargetMode="External"/>
<Relationship Id="rId13" Type="http://schemas.openxmlformats.org/officeDocument/2006/relationships/hyperlink" Target="https://providers.dffh.vic.gov.au/children-youth-and-families" TargetMode="External"/>
<Relationship Id="rId14" Type="http://schemas.openxmlformats.org/officeDocument/2006/relationships/hyperlink" Target="http://providers.dffh.vic.gov.au/families-fairness-housing-health-activity-search" TargetMode="External"/>
<Relationship Id="rId15"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Secure Welfare Service</w:t>
            </w:r>
          </w:p>
          <w:p>
            <w:pPr>
              <w:spacing w:line="560" w:lineRule="atLeast"/>
              <w:rPr>
                <w:rFonts w:ascii="Arial" w:hAnsi="Arial" w:eastAsia="Arial" w:cs="Arial"/>
                <w:color w:val="201547"/>
                <w:sz w:val="44"/>
              </w:rPr>
            </w:pPr>
            <w:r>
              <w:rPr>
                <w:rFonts w:ascii="Arial" w:hAnsi="Arial" w:eastAsia="Arial" w:cs="Arial"/>
                <w:color w:val="201547"/>
                <w:sz w:val="44"/>
              </w:rPr>
              <w:t>31208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primary health services to young people who are in Secure Welfare Services and at substantial and immediate risk of significant harm.</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Primary health services are provided to young people in Secure Welfare Services by an external health service provider. Young people placed in Secure Welfare Services face physical, cognitive, psychological and social changes and challenges commonly associated with this life stage. However, in contrast to most young people, they often have complex multiple health problems and comorbidities, particularly in the areas of problematic alcohol and other drug use, offence-specific behaviours, high-risk behaviours and mental health problems.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this activity is targeted at are young people between the ages of 10 and 17 who receive health services whilst residing at Secure Welfare Services.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Total number of young people who receive health service response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To ensure the health needs of all young people at Secure Welfare Services are met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total number of clients receiving health services for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Manual Data Collection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health service response is defined as one or more of the following:</w:t>
            </w:r>
            <w:r>
              <w:br/>
            </w:r>
            <w:r>
              <w:rPr>
                <w:rFonts w:ascii="Arial" w:hAnsi="Arial" w:eastAsia="Arial" w:cs="Arial"/>
                <w:color w:val="000000"/>
                <w:sz w:val="20"/>
              </w:rPr>
              <w:t>•	comprehensive health assessment and planning</w:t>
            </w:r>
            <w:r>
              <w:br/>
            </w:r>
            <w:r>
              <w:rPr>
                <w:rFonts w:ascii="Arial" w:hAnsi="Arial" w:eastAsia="Arial" w:cs="Arial"/>
                <w:color w:val="000000"/>
                <w:sz w:val="20"/>
              </w:rPr>
              <w:t>•	risk screening</w:t>
            </w:r>
            <w:r>
              <w:br/>
            </w:r>
            <w:r>
              <w:rPr>
                <w:rFonts w:ascii="Arial" w:hAnsi="Arial" w:eastAsia="Arial" w:cs="Arial"/>
                <w:color w:val="000000"/>
                <w:sz w:val="20"/>
              </w:rPr>
              <w:t>•	on-call and out-of-hours emergencies</w:t>
            </w:r>
            <w:r>
              <w:br/>
            </w:r>
            <w:r>
              <w:rPr>
                <w:rFonts w:ascii="Arial" w:hAnsi="Arial" w:eastAsia="Arial" w:cs="Arial"/>
                <w:color w:val="000000"/>
                <w:sz w:val="20"/>
              </w:rPr>
              <w:t>•	allied health services</w:t>
            </w:r>
            <w:r>
              <w:br/>
            </w:r>
            <w:r>
              <w:rPr>
                <w:rFonts w:ascii="Arial" w:hAnsi="Arial" w:eastAsia="Arial" w:cs="Arial"/>
                <w:color w:val="000000"/>
                <w:sz w:val="20"/>
              </w:rPr>
              <w:t>•	communicable disease treatment</w:t>
            </w:r>
            <w:r>
              <w:br/>
            </w:r>
            <w:r>
              <w:rPr>
                <w:rFonts w:ascii="Arial" w:hAnsi="Arial" w:eastAsia="Arial" w:cs="Arial"/>
                <w:color w:val="000000"/>
                <w:sz w:val="20"/>
              </w:rPr>
              <w:t>•	immunisation services</w:t>
            </w:r>
            <w:r>
              <w:br/>
            </w:r>
            <w:r>
              <w:rPr>
                <w:rFonts w:ascii="Arial" w:hAnsi="Arial" w:eastAsia="Arial" w:cs="Arial"/>
                <w:color w:val="000000"/>
                <w:sz w:val="20"/>
              </w:rPr>
              <w:t>•	dental services</w:t>
            </w:r>
            <w:r>
              <w:br/>
            </w:r>
            <w:r>
              <w:rPr>
                <w:rFonts w:ascii="Arial" w:hAnsi="Arial" w:eastAsia="Arial" w:cs="Arial"/>
                <w:color w:val="000000"/>
                <w:sz w:val="20"/>
              </w:rPr>
              <w:t>•	mental health planning</w:t>
            </w:r>
            <w:r>
              <w:br/>
            </w:r>
            <w:r>
              <w:rPr>
                <w:rFonts w:ascii="Arial" w:hAnsi="Arial" w:eastAsia="Arial" w:cs="Arial"/>
                <w:color w:val="000000"/>
                <w:sz w:val="20"/>
              </w:rPr>
              <w:t>•	alcohol and other drug services</w:t>
            </w:r>
            <w:r>
              <w:br/>
            </w:r>
            <w:r>
              <w:rPr>
                <w:rFonts w:ascii="Arial" w:hAnsi="Arial" w:eastAsia="Arial" w:cs="Arial"/>
                <w:color w:val="000000"/>
                <w:sz w:val="20"/>
              </w:rPr>
              <w:t>•	health promotion and illness prevention</w:t>
            </w:r>
            <w:r>
              <w:br/>
            </w:r>
            <w:r>
              <w:rPr>
                <w:rFonts w:ascii="Arial" w:hAnsi="Arial" w:eastAsia="Arial" w:cs="Arial"/>
                <w:color w:val="000000"/>
                <w:sz w:val="20"/>
              </w:rPr>
              <w:t>Health services are further described as per the Service Agreement.</w:t>
            </w:r>
            <w:r>
              <w:br/>
            </w:r>
            <w:r>
              <w:rPr>
                <w:rFonts w:ascii="Arial" w:hAnsi="Arial" w:eastAsia="Arial" w:cs="Arial"/>
                <w:color w:val="000000"/>
                <w:sz w:val="20"/>
              </w:rPr>
              <w:t>A young person is someone between the ages of 10 and 17 at immediate substantial risk of harm and for whom no alternative safe care option exists, and who is subject to a protection order or interim accommodation order.</w:t>
            </w:r>
            <w:r>
              <w:br/>
            </w:r>
            <w:r>
              <w:rPr>
                <w:rFonts w:ascii="Arial" w:hAnsi="Arial" w:eastAsia="Arial" w:cs="Arial"/>
                <w:color w:val="000000"/>
                <w:sz w:val="20"/>
              </w:rPr>
              <w:t xml:space="preserve">A young person admitted to Secure Welfare Services will be referred to health services for an admission assessment and any additional health related needs. This is counted as one target on a single day, regardless of the range of responses provided. </w:t>
            </w:r>
            <w:r>
              <w:br/>
            </w:r>
            <w:r>
              <w:rPr>
                <w:rFonts w:ascii="Arial" w:hAnsi="Arial" w:eastAsia="Arial" w:cs="Arial"/>
                <w:color w:val="000000"/>
                <w:sz w:val="20"/>
              </w:rPr>
              <w:t>A young person may be admitted more than once during the reporting period. Each admission requires a health service response and should be included within the count of total clients receiving services.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Manual Data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Health services performance measures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31208 Secure Welfare Service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