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 Based Care - Kinship Care 31202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s://providers.dffh.vic.gov.au/requirements-home-based-care-victoria-interim-revised-edition-april-2014-word" TargetMode="External"/>
<Relationship Id="rId13" Type="http://schemas.openxmlformats.org/officeDocument/2006/relationships/hyperlink" Target="http://www.cpmanual.vic.gov.au/policies-and-procedures/out-home-care/leaving-care" TargetMode="External"/>
<Relationship Id="rId14" Type="http://schemas.openxmlformats.org/officeDocument/2006/relationships/hyperlink" Target="https://providers.dffh.vic.gov.au/program-requirements-out-home-care-services" TargetMode="External"/>
<Relationship Id="rId15" Type="http://schemas.openxmlformats.org/officeDocument/2006/relationships/hyperlink" Target="https://providers.dffh.vic.gov.au/children-youth-and-families" TargetMode="External"/>
<Relationship Id="rId16" Type="http://schemas.openxmlformats.org/officeDocument/2006/relationships/hyperlink" Target="http://providers.dffh.vic.gov.au/families-fairness-housing-health-activity-search" TargetMode="External"/>
<Relationship Id="rId17"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 Based Care - Kinship Care</w:t>
            </w:r>
          </w:p>
          <w:p>
            <w:pPr>
              <w:spacing w:line="560" w:lineRule="atLeast"/>
              <w:rPr>
                <w:rFonts w:ascii="Arial" w:hAnsi="Arial" w:eastAsia="Arial" w:cs="Arial"/>
                <w:color w:val="201547"/>
                <w:sz w:val="44"/>
              </w:rPr>
            </w:pPr>
            <w:r>
              <w:rPr>
                <w:rFonts w:ascii="Arial" w:hAnsi="Arial" w:eastAsia="Arial" w:cs="Arial"/>
                <w:color w:val="201547"/>
                <w:sz w:val="44"/>
              </w:rPr>
              <w:t>31202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temporary, short term or long term care services for children and young people who are unable to live with their families due to issues of abuse, neglect or family complexity with a known carer through a familial relationship or social network in Victoria.</w:t>
      </w:r>
      <w:r>
        <w:br/>
      </w:r>
      <w:r>
        <w:br/>
      </w:r>
      <w:r>
        <w:rPr>
          <w:rFonts w:ascii="Arial" w:hAnsi="Arial" w:eastAsia="Arial" w:cs="Arial"/>
          <w:color w:val="000000"/>
          <w:sz w:val="20"/>
        </w:rPr>
        <w:t>Kinship care services can be accessed through Community Service Organisations and/or Aboriginal Community-Controlled Organisations.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kinship care services through the following activities, but not limited to: </w:t>
      </w:r>
      <w:r>
        <w:br/>
      </w:r>
      <w:r>
        <w:rPr>
          <w:rFonts w:ascii="Arial" w:hAnsi="Arial" w:eastAsia="Arial" w:cs="Arial"/>
          <w:color w:val="000000"/>
          <w:sz w:val="20"/>
        </w:rPr>
        <w:t>• First Supports</w:t>
      </w:r>
      <w:r>
        <w:br/>
      </w:r>
      <w:r>
        <w:rPr>
          <w:rFonts w:ascii="Arial" w:hAnsi="Arial" w:eastAsia="Arial" w:cs="Arial"/>
          <w:color w:val="000000"/>
          <w:sz w:val="20"/>
        </w:rPr>
        <w:t>• Case contracting</w:t>
      </w:r>
      <w:r>
        <w:br/>
      </w:r>
      <w:r>
        <w:rPr>
          <w:rFonts w:ascii="Arial" w:hAnsi="Arial" w:eastAsia="Arial" w:cs="Arial"/>
          <w:color w:val="000000"/>
          <w:sz w:val="20"/>
        </w:rPr>
        <w:t xml:space="preserve">• Information and Advice </w:t>
      </w:r>
      <w:r>
        <w:br/>
      </w:r>
      <w:r>
        <w:br/>
      </w:r>
      <w:r>
        <w:rPr>
          <w:rFonts w:ascii="Arial" w:hAnsi="Arial" w:eastAsia="Arial" w:cs="Arial"/>
          <w:color w:val="000000"/>
          <w:sz w:val="20"/>
        </w:rPr>
        <w:t>First Supports</w:t>
      </w:r>
      <w:r>
        <w:br/>
      </w:r>
      <w:r>
        <w:rPr>
          <w:rFonts w:ascii="Arial" w:hAnsi="Arial" w:eastAsia="Arial" w:cs="Arial"/>
          <w:color w:val="000000"/>
          <w:sz w:val="20"/>
        </w:rPr>
        <w:t>Deliver supports to new statutory kinship placements for up to 12 months through undertaking a comprehensive assessment (Part B) early in the placement and delivering supports to carers and children specific to their needs. First Supports activities include, but are not limited to:</w:t>
      </w:r>
      <w:r>
        <w:br/>
      </w:r>
      <w:r>
        <w:rPr>
          <w:rFonts w:ascii="Arial" w:hAnsi="Arial" w:eastAsia="Arial" w:cs="Arial"/>
          <w:color w:val="000000"/>
          <w:sz w:val="20"/>
        </w:rPr>
        <w:t>• Assessment (10 hours)</w:t>
      </w:r>
      <w:r>
        <w:br/>
      </w:r>
      <w:r>
        <w:rPr>
          <w:rFonts w:ascii="Arial" w:hAnsi="Arial" w:eastAsia="Arial" w:cs="Arial"/>
          <w:color w:val="000000"/>
          <w:sz w:val="20"/>
        </w:rPr>
        <w:t>• Entry (10 hours)</w:t>
      </w:r>
      <w:r>
        <w:br/>
      </w:r>
      <w:r>
        <w:rPr>
          <w:rFonts w:ascii="Arial" w:hAnsi="Arial" w:eastAsia="Arial" w:cs="Arial"/>
          <w:color w:val="000000"/>
          <w:sz w:val="20"/>
        </w:rPr>
        <w:t>• Short response (40 hours)</w:t>
      </w:r>
      <w:r>
        <w:br/>
      </w:r>
      <w:r>
        <w:rPr>
          <w:rFonts w:ascii="Arial" w:hAnsi="Arial" w:eastAsia="Arial" w:cs="Arial"/>
          <w:color w:val="000000"/>
          <w:sz w:val="20"/>
        </w:rPr>
        <w:t>• Long response (110 hours)</w:t>
      </w:r>
      <w:r>
        <w:br/>
      </w:r>
      <w:r>
        <w:rPr>
          <w:rFonts w:ascii="Arial" w:hAnsi="Arial" w:eastAsia="Arial" w:cs="Arial"/>
          <w:color w:val="000000"/>
          <w:sz w:val="20"/>
        </w:rPr>
        <w:t>•Brokerage.</w:t>
      </w:r>
      <w:r>
        <w:br/>
      </w:r>
      <w:r>
        <w:br/>
      </w:r>
      <w:r>
        <w:rPr>
          <w:rFonts w:ascii="Arial" w:hAnsi="Arial" w:eastAsia="Arial" w:cs="Arial"/>
          <w:color w:val="000000"/>
          <w:sz w:val="20"/>
        </w:rPr>
        <w:t>Case contracting</w:t>
      </w:r>
      <w:r>
        <w:br/>
      </w:r>
      <w:r>
        <w:rPr>
          <w:rFonts w:ascii="Arial" w:hAnsi="Arial" w:eastAsia="Arial" w:cs="Arial"/>
          <w:color w:val="000000"/>
          <w:sz w:val="20"/>
        </w:rPr>
        <w:t xml:space="preserve">Deliver supports and monitoring for statutory kinship placements to ensure the child’s safety, stability and development in placements identified by the department as suitable for contracting. Case contracting includes case management and placement support. </w:t>
      </w:r>
      <w:r>
        <w:br/>
      </w:r>
      <w:r>
        <w:br/>
      </w:r>
      <w:r>
        <w:rPr>
          <w:rFonts w:ascii="Arial" w:hAnsi="Arial" w:eastAsia="Arial" w:cs="Arial"/>
          <w:color w:val="000000"/>
          <w:sz w:val="20"/>
        </w:rPr>
        <w:t>Information and Advice services</w:t>
      </w:r>
      <w:r>
        <w:br/>
      </w:r>
      <w:r>
        <w:rPr>
          <w:rFonts w:ascii="Arial" w:hAnsi="Arial" w:eastAsia="Arial" w:cs="Arial"/>
          <w:color w:val="000000"/>
          <w:sz w:val="20"/>
        </w:rPr>
        <w:t>Ensure access to carers providing statutory and non-statutory (no child protection intervention) kinship care placements. This service includes provision of information and advice regarding community resources to kinship carers; facilitate and coordinate kinship carer peer support groups and promote access for kinship carers to training/other resources.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This activity is targeted at children and young people aged 0-18 years (and their families/carers) as outlined below: </w:t>
      </w:r>
      <w:r>
        <w:br/>
      </w:r>
      <w:r>
        <w:br/>
      </w:r>
      <w:r>
        <w:rPr>
          <w:rFonts w:ascii="Arial" w:hAnsi="Arial" w:eastAsia="Arial" w:cs="Arial"/>
          <w:color w:val="000000"/>
          <w:sz w:val="20"/>
        </w:rPr>
        <w:t>For placement support services - contracted case management and First Supports:</w:t>
      </w:r>
      <w:r>
        <w:br/>
      </w:r>
      <w:r>
        <w:rPr>
          <w:rFonts w:ascii="Arial" w:hAnsi="Arial" w:eastAsia="Arial" w:cs="Arial"/>
          <w:color w:val="000000"/>
          <w:sz w:val="20"/>
        </w:rPr>
        <w:t>• Children and young people aged 0–18 years who have been placed in a kinship care arrangement through child protection intervention, and their families/carers.</w:t>
      </w:r>
      <w:r>
        <w:br/>
      </w:r>
      <w:r>
        <w:br/>
      </w:r>
      <w:r>
        <w:rPr>
          <w:rFonts w:ascii="Arial" w:hAnsi="Arial" w:eastAsia="Arial" w:cs="Arial"/>
          <w:color w:val="000000"/>
          <w:sz w:val="20"/>
        </w:rPr>
        <w:t>For Information and Advice services:</w:t>
      </w:r>
      <w:r>
        <w:br/>
      </w:r>
      <w:r>
        <w:rPr>
          <w:rFonts w:ascii="Arial" w:hAnsi="Arial" w:eastAsia="Arial" w:cs="Arial"/>
          <w:color w:val="000000"/>
          <w:sz w:val="20"/>
        </w:rPr>
        <w:t>• Children and young people aged 0–18 years residing in kinship placements in both statutory and private arrangements, and their carers.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placements receiving case contracting services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case contracted kinship placements for children and young people who require care services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placements receiving case contracting services during the reporting period. </w:t>
            </w:r>
            <w:r>
              <w:br/>
            </w:r>
            <w:r>
              <w:br/>
            </w:r>
            <w:r>
              <w:rPr>
                <w:rFonts w:ascii="Arial" w:hAnsi="Arial" w:eastAsia="Arial" w:cs="Arial"/>
                <w:color w:val="000000"/>
                <w:sz w:val="20"/>
              </w:rPr>
              <w:t>For all contracted statutory kinship placement, add the number of placement days for each client cared for (including the first but not the last day), divided by the number of days within the reporting period to derive the ‘daily average number of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number refers to the placements for all clients cared for during a reporting period.</w:t>
            </w:r>
            <w:r>
              <w:br/>
            </w:r>
            <w:r>
              <w:rPr>
                <w:rFonts w:ascii="Arial" w:hAnsi="Arial" w:eastAsia="Arial" w:cs="Arial"/>
                <w:color w:val="000000"/>
                <w:sz w:val="20"/>
              </w:rPr>
              <w:t>Placements are with kinship carers who are relatives or members of a child or young persons’ social network. They are approved by child protection to provide a home-based care environment and care and the placement is supervised and supported. They are registered with a Community Service Organisation or Aboriginal Community Controlled Organisation whose details are recorded in CRIS and receive a care allowance that contributes to the costs of the placement.</w:t>
            </w:r>
            <w:r>
              <w:br/>
            </w:r>
            <w:r>
              <w:rPr>
                <w:rFonts w:ascii="Arial" w:hAnsi="Arial" w:eastAsia="Arial" w:cs="Arial"/>
                <w:color w:val="000000"/>
                <w:sz w:val="20"/>
              </w:rPr>
              <w:t>A case-worker provides support involving:</w:t>
            </w:r>
            <w:r>
              <w:br/>
            </w:r>
            <w:r>
              <w:rPr>
                <w:rFonts w:ascii="Arial" w:hAnsi="Arial" w:eastAsia="Arial" w:cs="Arial"/>
                <w:color w:val="000000"/>
                <w:sz w:val="20"/>
              </w:rPr>
              <w:t>•	case management</w:t>
            </w:r>
            <w:r>
              <w:br/>
            </w:r>
            <w:r>
              <w:rPr>
                <w:rFonts w:ascii="Arial" w:hAnsi="Arial" w:eastAsia="Arial" w:cs="Arial"/>
                <w:color w:val="000000"/>
                <w:sz w:val="20"/>
              </w:rPr>
              <w:t>•	assistance</w:t>
            </w:r>
            <w:r>
              <w:br/>
            </w:r>
            <w:r>
              <w:rPr>
                <w:rFonts w:ascii="Arial" w:hAnsi="Arial" w:eastAsia="Arial" w:cs="Arial"/>
                <w:color w:val="000000"/>
                <w:sz w:val="20"/>
              </w:rPr>
              <w:t xml:space="preserve">•	supervision </w:t>
            </w:r>
            <w:r>
              <w:br/>
            </w:r>
            <w:r>
              <w:rPr>
                <w:rFonts w:ascii="Arial" w:hAnsi="Arial" w:eastAsia="Arial" w:cs="Arial"/>
                <w:color w:val="000000"/>
                <w:sz w:val="20"/>
              </w:rPr>
              <w:t>•	assessment</w:t>
            </w:r>
            <w:r>
              <w:br/>
            </w:r>
            <w:r>
              <w:rPr>
                <w:rFonts w:ascii="Arial" w:hAnsi="Arial" w:eastAsia="Arial" w:cs="Arial"/>
                <w:color w:val="000000"/>
                <w:sz w:val="20"/>
              </w:rPr>
              <w:t>•	placement support</w:t>
            </w:r>
            <w:r>
              <w:br/>
            </w:r>
            <w:r>
              <w:rPr>
                <w:rFonts w:ascii="Arial" w:hAnsi="Arial" w:eastAsia="Arial" w:cs="Arial"/>
                <w:color w:val="000000"/>
                <w:sz w:val="20"/>
              </w:rPr>
              <w:t xml:space="preserve">•	development of an individual case plan </w:t>
            </w:r>
            <w:r>
              <w:br/>
            </w:r>
            <w:r>
              <w:rPr>
                <w:rFonts w:ascii="Arial" w:hAnsi="Arial" w:eastAsia="Arial" w:cs="Arial"/>
                <w:color w:val="000000"/>
                <w:sz w:val="20"/>
              </w:rPr>
              <w:t>•	support and coordination of interventions etc</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assessments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Part B comprehensive assessments submitted and endorsed for kinship families referred to the First Supports program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Part B comprehensive assessments completed by the provider and endorsed by child protection or authorised Aboriginal agency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endorsed Part B comprehensive assessment is defined as a completed, submitted and endorsed (by child protection or authorised Aboriginal agency) Part B assessment for an open kinship placement. The Part B assessment is completed and submitted by the service provider in CRISSP to child protection or authorised Aboriginal agency for endorsement in CRIS.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Amount of brokerage expended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amount of brokerage expenditure during the reporting period, the number of kinship families receiving brokerage and items purchased with the brokerage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amount of First Supports brokerage expended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 – Kinship Care - Acquittal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Expenditure refers to funds spent and not funds approved for spending</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4: Number of Service Hours - First Supports family services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service hours provided to the kinship family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service hours provided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hours are defined as hours spent by the First Supports provider delivering First Supports family services case work to the kinship family. Do not count the 10 hours notionally allocated for conducting the Part B comprehensive assessment or information and advice funded hours. Case work support includes a range of service activities such as support, active engagement, referrals, planning and review.  </w:t>
            </w:r>
            <w:r>
              <w:br/>
            </w:r>
            <w:r>
              <w:rPr>
                <w:rFonts w:ascii="Arial" w:hAnsi="Arial" w:eastAsia="Arial" w:cs="Arial"/>
                <w:color w:val="000000"/>
                <w:sz w:val="20"/>
              </w:rPr>
              <w:t xml:space="preserve">Example: </w:t>
            </w:r>
            <w:r>
              <w:br/>
            </w:r>
            <w:r>
              <w:rPr>
                <w:rFonts w:ascii="Arial" w:hAnsi="Arial" w:eastAsia="Arial" w:cs="Arial"/>
                <w:color w:val="000000"/>
                <w:sz w:val="20"/>
              </w:rPr>
              <w:t xml:space="preserve">A First Supports worker provides two-hours of case work to one kinship family. In addition, the worker travelled 30 minutes each way to meet the kinship family. This is counted as two hours of case work + one hour of travel = three service hours. </w:t>
            </w:r>
            <w:r>
              <w:br/>
            </w:r>
            <w:r>
              <w:rPr>
                <w:rFonts w:ascii="Arial" w:hAnsi="Arial" w:eastAsia="Arial" w:cs="Arial"/>
                <w:color w:val="000000"/>
                <w:sz w:val="20"/>
              </w:rPr>
              <w:t>Service hours include time spent writing case notes and other activities directly relating to providing flexible supports to the kinship family</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5: Number of Service Hours – Information and advice services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service hours provided in the delivery of kinship peer support groups and providing information and advice to kinship families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service hours provided during the reporting period.</w:t>
            </w:r>
            <w:r>
              <w:br/>
            </w:r>
            <w:r>
              <w:rPr>
                <w:rFonts w:ascii="Arial" w:hAnsi="Arial" w:eastAsia="Arial" w:cs="Arial"/>
                <w:color w:val="000000"/>
                <w:sz w:val="20"/>
              </w:rPr>
              <w:t>Annual targets provided to service providers are divided by 12 to translate to indicative monthly targets.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Service hours are defined as hours spent by the service provider’s staff delivering peer support groups to kinship carers, providing information and advice to kinship carers regarding community resources and support, and promoting access to training and other resources to support the kinship family</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6: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placements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placements during the reporting period. </w:t>
            </w:r>
            <w:r>
              <w:br/>
            </w:r>
            <w:r>
              <w:br/>
            </w:r>
            <w:r>
              <w:rPr>
                <w:rFonts w:ascii="Arial" w:hAnsi="Arial" w:eastAsia="Arial" w:cs="Arial"/>
                <w:color w:val="000000"/>
                <w:sz w:val="20"/>
              </w:rPr>
              <w:t>For all contracted statutory kinship placement, add the number of placement days for each client cared for (including the first but not the last day), divided by the number of days within the reporting period  to derive the ‘daily average number of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Placement refers to the accommodation provided for children unable to live with their parents either in the short term or long term.</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7: Number of cases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cases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days in the reporting period, divided by number of days within the reporting period.  The placement days includes the first day(i.e. the day the child enters placement) and excludes the last day(i.e. the day the child departs from placement). For all contracted statutory kinship placement, add the number of placement days for each client cared for, divided by the number of days within the reporting period (month of June – 30 days) to derive the ‘daily average number of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HBC-kinship care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Placement and support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HBC – Kinship Care - Acquittal template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6"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31202 Home Based Care - Kinship Care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