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Lead Tenant 31188</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legislation.vic.gov.au/as-made/statutory-rules/social-services-regulations-2023" TargetMode="External"/>
<Relationship Id="rId12" Type="http://schemas.openxmlformats.org/officeDocument/2006/relationships/hyperlink" Target="https://www.vic.gov.au/social-services-regulator" TargetMode="External"/>
<Relationship Id="rId13" Type="http://schemas.openxmlformats.org/officeDocument/2006/relationships/hyperlink" Target="https://providers.dffh.vic.gov.au/human-services-standards" TargetMode="External"/>
<Relationship Id="rId14" Type="http://schemas.openxmlformats.org/officeDocument/2006/relationships/hyperlink" Target="https://providers.dffh.vic.gov.au/program-requirements-out-home-care-services" TargetMode="External"/>
<Relationship Id="rId15" Type="http://schemas.openxmlformats.org/officeDocument/2006/relationships/hyperlink" Target="http://www.cpmanual.vic.gov.au/policies-and-procedures/out-home-care/leaving-care" TargetMode="External"/>
<Relationship Id="rId16" Type="http://schemas.openxmlformats.org/officeDocument/2006/relationships/hyperlink" Target="https://providers.dffh.vic.gov.au/program-requirements-out-home-care-services" TargetMode="External"/>
<Relationship Id="rId17" Type="http://schemas.openxmlformats.org/officeDocument/2006/relationships/hyperlink" Target="https://providers.dffh.vic.gov.au/children-youth-and-families" TargetMode="External"/>
<Relationship Id="rId18" Type="http://schemas.openxmlformats.org/officeDocument/2006/relationships/hyperlink" Target="http://providers.dffh.vic.gov.au/families-fairness-housing-health-activity-search" TargetMode="External"/>
<Relationship Id="rId19"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Lead Tenant</w:t>
            </w:r>
          </w:p>
          <w:p>
            <w:pPr>
              <w:spacing w:line="560" w:lineRule="atLeast"/>
              <w:rPr>
                <w:rFonts w:ascii="Arial" w:hAnsi="Arial" w:eastAsia="Arial" w:cs="Arial"/>
                <w:color w:val="201547"/>
                <w:sz w:val="44"/>
              </w:rPr>
            </w:pPr>
            <w:r>
              <w:rPr>
                <w:rFonts w:ascii="Arial" w:hAnsi="Arial" w:eastAsia="Arial" w:cs="Arial"/>
                <w:color w:val="201547"/>
                <w:sz w:val="44"/>
              </w:rPr>
              <w:t>31188</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Placement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semi-independent out-of-home care accommodation for young people aged 16 to 18 years and to promote the acquisition of independent living skills in a safe and supported environment.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Lead tenant services provide semi-independent accommodation and support for young people aged 16 to 18 years who are unable to live with their family due to issues of abuse or neglect. Lead tenant programs are based on a volunteer adult providing day-to-day guidance and mature role modelling in a shared house arrangement with young people between the ages of 16 and 17 years, with additional support by case managers and youth workers.</w:t>
      </w:r>
      <w:r>
        <w:br/>
      </w:r>
      <w:r>
        <w:rPr>
          <w:rFonts w:ascii="Arial" w:hAnsi="Arial" w:eastAsia="Arial" w:cs="Arial"/>
          <w:color w:val="000000"/>
          <w:sz w:val="20"/>
        </w:rPr>
        <w:t>Lead tenant placements are in houses in local communities where a young person or persons resides with a ‘lead tenant’ (an adult volunteer) who provides support and guidance in developing their independent living skills.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Young people 16 to 18 years of age transitioning from residential or home-based care. It is intended that 90 per cent of clients will be subject to current child protection involvement and the remaining will have no current child protection involvement.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Providers of social services in Victoria who are in scope of the scheme must register with the Social Services Regulator (SSR) and comply with legislative requirements under the Social Services Regulation Act. Refer to the definitions in Part 1 of the Social Services Regulations 2023 (</w:t>
      </w:r>
      <w:hyperlink r:id="rId11" w:tgtFrame="_blank" w:history="1">
        <w:r>
          <w:rPr>
            <w:rFonts w:ascii="Arial" w:hAnsi="Arial" w:eastAsia="Arial" w:cs="Arial"/>
            <w:color w:val="3366FF"/>
            <w:sz w:val="20"/>
          </w:rPr>
          <w:t>https://www.legislation.vic.gov.au/as-made/statutory-rules/social-services-regulations-2023</w:t>
        </w:r>
      </w:hyperlink>
      <w:r>
        <w:rPr>
          <w:rFonts w:ascii="Arial" w:hAnsi="Arial" w:eastAsia="Arial" w:cs="Arial"/>
          <w:color w:val="000000"/>
          <w:sz w:val="20"/>
        </w:rPr>
        <w:t>) and the SSR website (</w:t>
      </w:r>
      <w:hyperlink r:id="rId12" w:tgtFrame="_blank" w:history="1">
        <w:r>
          <w:rPr>
            <w:rFonts w:ascii="Arial" w:hAnsi="Arial" w:eastAsia="Arial" w:cs="Arial"/>
            <w:color w:val="3366FF"/>
            <w:sz w:val="20"/>
          </w:rPr>
          <w:t>https://www.vic.gov.au/social-services-regulator</w:t>
        </w:r>
      </w:hyperlink>
      <w:r>
        <w:rPr>
          <w:rFonts w:ascii="Arial" w:hAnsi="Arial" w:eastAsia="Arial" w:cs="Arial"/>
          <w:color w:val="000000"/>
          <w:sz w:val="20"/>
        </w:rPr>
        <w:t>) to determine if services are in scope of registration.</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Program requirements for lead tenant services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Child Protection Practice Manual</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&lt;http://www.cpmanual.vic.gov.au/policies-and-procedures/out-home-care/leaving-care&gt;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Guide to emergency use of physical restraint in care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Child and family services transfer to Aboriginal Community Controlled Organisations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&lt;https://providers.dffh.vic.gov.au/children-youth-and-families&gt;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Daily average number of placements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daily average number of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daily average number of clients supported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Number of placements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placements occupied by a client on a daily basis in the reporting period and then add these figures together to get a total number of placement days in the reporting period. Next, to determine the daily average number of placements, the total number of placement days must be divided by the number of days 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Percentage of children and young people who are subject to protective involvement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placements occupied by a client on a daily basis in the reporting period and then add these figures together to get a total number of placement days in the reporting period. Next, to determine the daily average number of placements, the total number of placement days must be divided by the number of days 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4: Percentage of total exits from placement that are planned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placements occupied by a client on a daily basis in the reporting period and then add these figures together to get a total number of placement days in the reporting period. Next, to determine the daily average number of placements, the total number of placement days must be divided by the number of days 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Out of Home Care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CRISSP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SAMS2/Service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June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8"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31188 Lead Tenant</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