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Keep Embracing Your Success (KEYS) 31142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s://providers.dffh.vic.gov.au/program-requirements-residential-care-victoria-oct-2016-word" TargetMode="External"/>
<Relationship Id="rId16" Type="http://schemas.openxmlformats.org/officeDocument/2006/relationships/hyperlink" Target="https://providers.dffh.vic.gov.au/labour-hire-procedures%3e" TargetMode="External"/>
<Relationship Id="rId17" Type="http://schemas.openxmlformats.org/officeDocument/2006/relationships/hyperlink" Target="http://www.cpmanual.vic.gov.au/policies-and-procedures/out-home-care/leaving-care" TargetMode="External"/>
<Relationship Id="rId18" Type="http://schemas.openxmlformats.org/officeDocument/2006/relationships/hyperlink" Target="https://providers.dffh.vic.gov.au/program-requirements-out-home-care-services" TargetMode="External"/>
<Relationship Id="rId19" Type="http://schemas.openxmlformats.org/officeDocument/2006/relationships/hyperlink" Target="https://providers.dffh.vic.gov.au/minimum-qualification-requirements-residential-care-workers-victoria-word" TargetMode="External"/>
<Relationship Id="rId20" Type="http://schemas.openxmlformats.org/officeDocument/2006/relationships/hyperlink" Target="https://fac.dhhs.vic.gov.au/" TargetMode="External"/>
<Relationship Id="rId21" Type="http://schemas.openxmlformats.org/officeDocument/2006/relationships/hyperlink" Target="https://providers.dffh.vic.gov.au/children-youth-and-families" TargetMode="External"/>
<Relationship Id="rId22" Type="http://schemas.openxmlformats.org/officeDocument/2006/relationships/hyperlink" Target="http://providers.dffh.vic.gov.au/families-fairness-housing-health-activity-search" TargetMode="External"/>
<Relationship Id="rId2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Keep Embracing Your Success (KEYS)</w:t>
            </w:r>
          </w:p>
          <w:p>
            <w:pPr>
              <w:spacing w:line="560" w:lineRule="atLeast"/>
              <w:rPr>
                <w:rFonts w:ascii="Arial" w:hAnsi="Arial" w:eastAsia="Arial" w:cs="Arial"/>
                <w:color w:val="201547"/>
                <w:sz w:val="44"/>
              </w:rPr>
            </w:pPr>
            <w:r>
              <w:rPr>
                <w:rFonts w:ascii="Arial" w:hAnsi="Arial" w:eastAsia="Arial" w:cs="Arial"/>
                <w:color w:val="201547"/>
                <w:sz w:val="44"/>
              </w:rPr>
              <w:t>31142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provide residential care to children and young people in care services with the primary aim of achieving the child or young people’s permanency objective, in partnership with child protection and transition them from KEYS to: </w:t>
      </w:r>
      <w:r>
        <w:br/>
      </w:r>
      <w:r>
        <w:rPr>
          <w:rFonts w:ascii="Arial" w:hAnsi="Arial" w:eastAsia="Arial" w:cs="Arial"/>
          <w:color w:val="000000"/>
          <w:sz w:val="20"/>
        </w:rPr>
        <w:t xml:space="preserve">• Family </w:t>
      </w:r>
      <w:r>
        <w:br/>
      </w:r>
      <w:r>
        <w:rPr>
          <w:rFonts w:ascii="Arial" w:hAnsi="Arial" w:eastAsia="Arial" w:cs="Arial"/>
          <w:color w:val="000000"/>
          <w:sz w:val="20"/>
        </w:rPr>
        <w:t xml:space="preserve">• Home-based care kinship care </w:t>
      </w:r>
      <w:r>
        <w:br/>
      </w:r>
      <w:r>
        <w:rPr>
          <w:rFonts w:ascii="Arial" w:hAnsi="Arial" w:eastAsia="Arial" w:cs="Arial"/>
          <w:color w:val="000000"/>
          <w:sz w:val="20"/>
        </w:rPr>
        <w:t xml:space="preserve">• Home based care foster care, or  </w:t>
      </w:r>
      <w:r>
        <w:br/>
      </w:r>
      <w:r>
        <w:rPr>
          <w:rFonts w:ascii="Arial" w:hAnsi="Arial" w:eastAsia="Arial" w:cs="Arial"/>
          <w:color w:val="000000"/>
          <w:sz w:val="20"/>
        </w:rPr>
        <w:t>• Independent living arrangements.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KEYS is four-bed residential care housing provided to children and young people in care services in community-based houses. </w:t>
      </w:r>
      <w:r>
        <w:br/>
      </w:r>
      <w:r>
        <w:br/>
      </w:r>
      <w:r>
        <w:rPr>
          <w:rFonts w:ascii="Arial" w:hAnsi="Arial" w:eastAsia="Arial" w:cs="Arial"/>
          <w:color w:val="000000"/>
          <w:sz w:val="20"/>
        </w:rPr>
        <w:t>Children and young people who are provided with a KEYS service cannot be placed in longer term kinship care or foster care and require a period of time in this model with the aim of supporting young people to stabilise their behaviour and build their future through multidisciplinary wrap around supports provided by a single integrated team.</w:t>
      </w:r>
      <w:r>
        <w:br/>
      </w:r>
      <w:r>
        <w:br/>
      </w:r>
      <w:r>
        <w:rPr>
          <w:rFonts w:ascii="Arial" w:hAnsi="Arial" w:eastAsia="Arial" w:cs="Arial"/>
          <w:color w:val="000000"/>
          <w:sz w:val="20"/>
        </w:rPr>
        <w:t>It is intended for young people to be supported for up to 12 months in placement before transitioning the child or young person to a longer-term placement with up to six months of outreach support from KEYS.</w:t>
      </w:r>
      <w:r>
        <w:br/>
      </w:r>
      <w:r>
        <w:br/>
      </w:r>
      <w:r>
        <w:rPr>
          <w:rFonts w:ascii="Arial" w:hAnsi="Arial" w:eastAsia="Arial" w:cs="Arial"/>
          <w:color w:val="000000"/>
          <w:sz w:val="20"/>
        </w:rPr>
        <w:t xml:space="preserve">KEYS is delivered through a consortia or partnership arrangement of the following partners: </w:t>
      </w:r>
      <w:r>
        <w:br/>
      </w:r>
      <w:r>
        <w:rPr>
          <w:rFonts w:ascii="Arial" w:hAnsi="Arial" w:eastAsia="Arial" w:cs="Arial"/>
          <w:color w:val="000000"/>
          <w:sz w:val="20"/>
        </w:rPr>
        <w:t xml:space="preserve">• Care Services (residential care) </w:t>
      </w:r>
      <w:r>
        <w:br/>
      </w:r>
      <w:r>
        <w:rPr>
          <w:rFonts w:ascii="Arial" w:hAnsi="Arial" w:eastAsia="Arial" w:cs="Arial"/>
          <w:color w:val="000000"/>
          <w:sz w:val="20"/>
        </w:rPr>
        <w:t xml:space="preserve">• Health Services </w:t>
      </w:r>
      <w:r>
        <w:br/>
      </w:r>
      <w:r>
        <w:rPr>
          <w:rFonts w:ascii="Arial" w:hAnsi="Arial" w:eastAsia="Arial" w:cs="Arial"/>
          <w:color w:val="000000"/>
          <w:sz w:val="20"/>
        </w:rPr>
        <w:t xml:space="preserve">• Aboriginal specific services.  </w:t>
      </w:r>
      <w:r>
        <w:br/>
      </w:r>
      <w:r>
        <w:br/>
      </w:r>
      <w:r>
        <w:rPr>
          <w:rFonts w:ascii="Arial" w:hAnsi="Arial" w:eastAsia="Arial" w:cs="Arial"/>
          <w:color w:val="000000"/>
          <w:sz w:val="20"/>
        </w:rPr>
        <w:t xml:space="preserve">For all KEYS models, there is a requirement of a minimum two staff rostered on for each shift and that there is always an overnight stand-up staff member with another staff member on site permitted to sleep over and be activated as required. </w:t>
      </w:r>
      <w:r>
        <w:br/>
      </w:r>
      <w:r>
        <w:br/>
      </w:r>
      <w:r>
        <w:rPr>
          <w:rFonts w:ascii="Arial" w:hAnsi="Arial" w:eastAsia="Arial" w:cs="Arial"/>
          <w:color w:val="000000"/>
          <w:sz w:val="20"/>
        </w:rPr>
        <w:t xml:space="preserve">KEYS will provide a culturally safe, trauma informed and inclusive service response, including supporting Aboriginal children and families through KEYS or the Aboriginal KEYS model.   </w:t>
      </w:r>
      <w:r>
        <w:br/>
      </w:r>
      <w:r>
        <w:br/>
      </w:r>
      <w:r>
        <w:rPr>
          <w:rFonts w:ascii="Arial" w:hAnsi="Arial" w:eastAsia="Arial" w:cs="Arial"/>
          <w:color w:val="000000"/>
          <w:sz w:val="20"/>
        </w:rPr>
        <w:t xml:space="preserve">Young people referred to KEYS may have or are currently experiencing one or more of the following difficulties: </w:t>
      </w:r>
      <w:r>
        <w:br/>
      </w:r>
      <w:r>
        <w:rPr>
          <w:rFonts w:ascii="Arial" w:hAnsi="Arial" w:eastAsia="Arial" w:cs="Arial"/>
          <w:color w:val="000000"/>
          <w:sz w:val="20"/>
        </w:rPr>
        <w:t xml:space="preserve">• Complex mental health difficulties such as self-harming behaviours </w:t>
      </w:r>
      <w:r>
        <w:br/>
      </w:r>
      <w:r>
        <w:rPr>
          <w:rFonts w:ascii="Arial" w:hAnsi="Arial" w:eastAsia="Arial" w:cs="Arial"/>
          <w:color w:val="000000"/>
          <w:sz w:val="20"/>
        </w:rPr>
        <w:t xml:space="preserve">• Significant neglect, physical and sexual abuse, witnessed and/or subjected to family violence, </w:t>
      </w:r>
      <w:r>
        <w:br/>
      </w:r>
      <w:r>
        <w:rPr>
          <w:rFonts w:ascii="Arial" w:hAnsi="Arial" w:eastAsia="Arial" w:cs="Arial"/>
          <w:color w:val="000000"/>
          <w:sz w:val="20"/>
        </w:rPr>
        <w:t xml:space="preserve">  and exposure to family violence </w:t>
      </w:r>
      <w:r>
        <w:br/>
      </w:r>
      <w:r>
        <w:rPr>
          <w:rFonts w:ascii="Arial" w:hAnsi="Arial" w:eastAsia="Arial" w:cs="Arial"/>
          <w:color w:val="000000"/>
          <w:sz w:val="20"/>
        </w:rPr>
        <w:t xml:space="preserve">• Show signs of reactive sexual behaviours </w:t>
      </w:r>
      <w:r>
        <w:br/>
      </w:r>
      <w:r>
        <w:rPr>
          <w:rFonts w:ascii="Arial" w:hAnsi="Arial" w:eastAsia="Arial" w:cs="Arial"/>
          <w:color w:val="000000"/>
          <w:sz w:val="20"/>
        </w:rPr>
        <w:t xml:space="preserve">• Have criminal offending behaviours, including those with youth justice involvement </w:t>
      </w:r>
      <w:r>
        <w:br/>
      </w:r>
      <w:r>
        <w:rPr>
          <w:rFonts w:ascii="Arial" w:hAnsi="Arial" w:eastAsia="Arial" w:cs="Arial"/>
          <w:color w:val="000000"/>
          <w:sz w:val="20"/>
        </w:rPr>
        <w:t xml:space="preserve">• Substance misuse </w:t>
      </w:r>
      <w:r>
        <w:br/>
      </w:r>
      <w:r>
        <w:rPr>
          <w:rFonts w:ascii="Arial" w:hAnsi="Arial" w:eastAsia="Arial" w:cs="Arial"/>
          <w:color w:val="000000"/>
          <w:sz w:val="20"/>
        </w:rPr>
        <w:t xml:space="preserve">• High vulnerability to sexual exploitation and abuse.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for this activity is targeted at children and young people aged 12 to 17 years who have serious emotional and mental health issues and related challenging behaviours and are in residential care or are likely to move into residential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Improving safety for children and young people in residential care Overview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Residential Care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&lt;https://providers.dffh.vic.gov.au/program-requirements-residential-care-victoria-oct-2016-word&gt;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Labour Hire Procedures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&lt;https://providers.dffh.vic.gov.au/labour-hire-procedures&gt;&gt;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Minimum Qualification Requirements for Residential Care Workers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&lt;https://providers.dffh.vic.gov.au/minimum-qualification-requirements-residential-care-workers-victoria-word&gt;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Program guidelines for Keep Embracing Your Success (KEYS) – Residential care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Placement - Daily average occupancy</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number of children and young people in KEYS residential care placements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Number of placement days in the reporting period, divided by number of days in the reporting period. </w:t>
            </w:r>
            <w:r>
              <w:br/>
            </w:r>
            <w:r>
              <w:rPr>
                <w:rFonts w:ascii="Arial" w:hAnsi="Arial" w:eastAsia="Arial" w:cs="Arial"/>
                <w:color w:val="000000"/>
                <w:sz w:val="20"/>
              </w:rPr>
              <w:t xml:space="preserve">The placement days includes the first day (i.e. the day the child enters placement) and excludes the last day (i.e. the day the child departs from placement). </w:t>
            </w:r>
            <w:r>
              <w:br/>
            </w:r>
            <w:r>
              <w:rPr>
                <w:rFonts w:ascii="Arial" w:hAnsi="Arial" w:eastAsia="Arial" w:cs="Arial"/>
                <w:color w:val="000000"/>
                <w:sz w:val="20"/>
              </w:rPr>
              <w:t xml:space="preserve">For example: </w:t>
            </w:r>
            <w:r>
              <w:br/>
            </w:r>
            <w:r>
              <w:rPr>
                <w:rFonts w:ascii="Arial" w:hAnsi="Arial" w:eastAsia="Arial" w:cs="Arial"/>
                <w:color w:val="000000"/>
                <w:sz w:val="20"/>
              </w:rPr>
              <w:t xml:space="preserve">1 child, placed for 29 day = 29 placement days </w:t>
            </w:r>
            <w:r>
              <w:br/>
            </w:r>
            <w:r>
              <w:rPr>
                <w:rFonts w:ascii="Arial" w:hAnsi="Arial" w:eastAsia="Arial" w:cs="Arial"/>
                <w:color w:val="000000"/>
                <w:sz w:val="20"/>
              </w:rPr>
              <w:t xml:space="preserve">3 children, placed for 31 days = 93 placement days </w:t>
            </w:r>
            <w:r>
              <w:br/>
            </w:r>
            <w:r>
              <w:rPr>
                <w:rFonts w:ascii="Arial" w:hAnsi="Arial" w:eastAsia="Arial" w:cs="Arial"/>
                <w:color w:val="000000"/>
                <w:sz w:val="20"/>
              </w:rPr>
              <w:t xml:space="preserve">10 children, placed for 28 days = 280 placement days </w:t>
            </w:r>
            <w:r>
              <w:br/>
            </w:r>
            <w:r>
              <w:rPr>
                <w:rFonts w:ascii="Arial" w:hAnsi="Arial" w:eastAsia="Arial" w:cs="Arial"/>
                <w:color w:val="000000"/>
                <w:sz w:val="20"/>
              </w:rPr>
              <w:t xml:space="preserve">No. of placement days used in June quarter = 402 (29 + 93 + 280) </w:t>
            </w:r>
            <w:r>
              <w:br/>
            </w:r>
            <w:r>
              <w:rPr>
                <w:rFonts w:ascii="Arial" w:hAnsi="Arial" w:eastAsia="Arial" w:cs="Arial"/>
                <w:color w:val="000000"/>
                <w:sz w:val="20"/>
              </w:rPr>
              <w:t xml:space="preserve">Total days June quarter = 91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Daily average number is the equivalent number of clients per day during the reporting period (e.g. June quarter = 91days). </w:t>
            </w:r>
            <w:r>
              <w:br/>
            </w:r>
            <w:r>
              <w:rPr>
                <w:rFonts w:ascii="Arial" w:hAnsi="Arial" w:eastAsia="Arial" w:cs="Arial"/>
                <w:color w:val="000000"/>
                <w:sz w:val="20"/>
              </w:rPr>
              <w:t>Placement refers to the accommodation provided in KEYS.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31142 Keep Embracing Your Success (KEYS)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