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Care Hub 31140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human-services-standards" TargetMode="External"/>
<Relationship Id="rId12" Type="http://schemas.openxmlformats.org/officeDocument/2006/relationships/hyperlink" Target="https://providers.dffh.vic.gov.au/program-requirements-out-home-care-services" TargetMode="External"/>
<Relationship Id="rId13" Type="http://schemas.openxmlformats.org/officeDocument/2006/relationships/hyperlink" Target="https://providers.dffh.vic.gov.au/program-requirements-residential-care-victoria-oct-2016-word" TargetMode="External"/>
<Relationship Id="rId14" Type="http://schemas.openxmlformats.org/officeDocument/2006/relationships/hyperlink" Target="https://providers.dffh.vic.gov.au/requirements-home-based-care-victoria-interim-revised-edition-april-2014-word" TargetMode="External"/>
<Relationship Id="rId15" Type="http://schemas.openxmlformats.org/officeDocument/2006/relationships/hyperlink" Target="https://providers.dffh.vic.gov.au/labour-hire-procedures%3e" TargetMode="External"/>
<Relationship Id="rId16" Type="http://schemas.openxmlformats.org/officeDocument/2006/relationships/hyperlink" Target="http://www.cpmanual.vic.gov.au/policies-and-procedures/out-home-care/leaving-care" TargetMode="External"/>
<Relationship Id="rId17" Type="http://schemas.openxmlformats.org/officeDocument/2006/relationships/hyperlink" Target="https://providers.dffh.vic.gov.au/program-requirements-out-home-care-services" TargetMode="External"/>
<Relationship Id="rId18" Type="http://schemas.openxmlformats.org/officeDocument/2006/relationships/hyperlink" Target="https://providers.dffh.vic.gov.au/minimum-qualification-requirements-residential-care-workers-victoria-word" TargetMode="External"/>
<Relationship Id="rId19" Type="http://schemas.openxmlformats.org/officeDocument/2006/relationships/hyperlink" Target="https://fac.dffh.vic.gov.au/policies-and-procedures" TargetMode="External"/>
<Relationship Id="rId20" Type="http://schemas.openxmlformats.org/officeDocument/2006/relationships/hyperlink" Target="https://fac.dhhs.vic.gov.au" TargetMode="External"/>
<Relationship Id="rId21" Type="http://schemas.openxmlformats.org/officeDocument/2006/relationships/hyperlink" Target="https://providers.dffh.vic.gov.au/children-youth-and-families" TargetMode="External"/>
<Relationship Id="rId22" Type="http://schemas.openxmlformats.org/officeDocument/2006/relationships/hyperlink" Target="http://providers.dffh.vic.gov.au/families-fairness-housing-health-activity-search" TargetMode="External"/>
<Relationship Id="rId2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Care Hub</w:t>
            </w:r>
          </w:p>
          <w:p>
            <w:pPr>
              <w:spacing w:line="560" w:lineRule="atLeast"/>
              <w:rPr>
                <w:rFonts w:ascii="Arial" w:hAnsi="Arial" w:eastAsia="Arial" w:cs="Arial"/>
                <w:color w:val="201547"/>
                <w:sz w:val="44"/>
              </w:rPr>
            </w:pPr>
            <w:r>
              <w:rPr>
                <w:rFonts w:ascii="Arial" w:hAnsi="Arial" w:eastAsia="Arial" w:cs="Arial"/>
                <w:color w:val="201547"/>
                <w:sz w:val="44"/>
              </w:rPr>
              <w:t>31140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provide short-term intensive placement options and specialist multidisciplinary support services to children and young people who are temporarily unable to live with their families due to issues of abuse or neglect. The primary objective is family reunification and minimising the time spent in care and improving placement stability. The broad goals of the Care Hub are to:  </w:t>
      </w:r>
      <w:r>
        <w:br/>
      </w:r>
      <w:r>
        <w:rPr>
          <w:rFonts w:ascii="Arial" w:hAnsi="Arial" w:eastAsia="Arial" w:cs="Arial"/>
          <w:color w:val="000000"/>
          <w:sz w:val="20"/>
        </w:rPr>
        <w:t xml:space="preserve">• progress a child’s permanency objective  </w:t>
      </w:r>
      <w:r>
        <w:br/>
      </w:r>
      <w:r>
        <w:rPr>
          <w:rFonts w:ascii="Arial" w:hAnsi="Arial" w:eastAsia="Arial" w:cs="Arial"/>
          <w:color w:val="000000"/>
          <w:sz w:val="20"/>
        </w:rPr>
        <w:t xml:space="preserve">• improve the experience of children and young people entering care </w:t>
      </w:r>
      <w:r>
        <w:br/>
      </w:r>
      <w:r>
        <w:rPr>
          <w:rFonts w:ascii="Arial" w:hAnsi="Arial" w:eastAsia="Arial" w:cs="Arial"/>
          <w:color w:val="000000"/>
          <w:sz w:val="20"/>
        </w:rPr>
        <w:t xml:space="preserve">• improve assessment and placement planning </w:t>
      </w:r>
      <w:r>
        <w:br/>
      </w:r>
      <w:r>
        <w:rPr>
          <w:rFonts w:ascii="Arial" w:hAnsi="Arial" w:eastAsia="Arial" w:cs="Arial"/>
          <w:color w:val="000000"/>
          <w:sz w:val="20"/>
        </w:rPr>
        <w:t>• improve placement stability.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Care Hub includes both placement and specialist support, and will provide early assessment, planning and wrap around supports by a single integrated multidisciplinary team for children and young people who are first time entrants to care. </w:t>
      </w:r>
      <w:r>
        <w:br/>
      </w:r>
      <w:r>
        <w:rPr>
          <w:rFonts w:ascii="Arial" w:hAnsi="Arial" w:eastAsia="Arial" w:cs="Arial"/>
          <w:color w:val="000000"/>
          <w:sz w:val="20"/>
        </w:rPr>
        <w:t xml:space="preserve">The Care Hub multidisciplinary team will deliver supports to children and young people in the Care Hub placement and outreach component. </w:t>
      </w:r>
      <w:r>
        <w:br/>
      </w:r>
      <w:r>
        <w:rPr>
          <w:rFonts w:ascii="Arial" w:hAnsi="Arial" w:eastAsia="Arial" w:cs="Arial"/>
          <w:color w:val="000000"/>
          <w:sz w:val="20"/>
        </w:rPr>
        <w:t>The Care Hub includes the following components:</w:t>
      </w:r>
      <w:r>
        <w:br/>
      </w:r>
      <w:r>
        <w:rPr>
          <w:rFonts w:ascii="Arial" w:hAnsi="Arial" w:eastAsia="Arial" w:cs="Arial"/>
          <w:color w:val="000000"/>
          <w:sz w:val="20"/>
        </w:rPr>
        <w:t>Care Hub placement</w:t>
      </w:r>
      <w:r>
        <w:br/>
      </w:r>
      <w:r>
        <w:rPr>
          <w:rFonts w:ascii="Arial" w:hAnsi="Arial" w:eastAsia="Arial" w:cs="Arial"/>
          <w:color w:val="000000"/>
          <w:sz w:val="20"/>
        </w:rPr>
        <w:t>• Care Hub – Home based care – complex:</w:t>
      </w:r>
      <w:r>
        <w:br/>
      </w:r>
      <w:r>
        <w:rPr>
          <w:rFonts w:ascii="Arial" w:hAnsi="Arial" w:eastAsia="Arial" w:cs="Arial"/>
          <w:color w:val="000000"/>
          <w:sz w:val="20"/>
        </w:rPr>
        <w:t xml:space="preserve">o Care Hub short-term foster care: Up to two children or young people placed with an assessed and approved foster carer/s. The carer will exclusively provide care for children and young people in the Care Hub. May be a pool of carer households. </w:t>
      </w:r>
      <w:r>
        <w:br/>
      </w:r>
      <w:r>
        <w:rPr>
          <w:rFonts w:ascii="Arial" w:hAnsi="Arial" w:eastAsia="Arial" w:cs="Arial"/>
          <w:color w:val="000000"/>
          <w:sz w:val="20"/>
        </w:rPr>
        <w:t>o Care Hub sibling placement: Up to six children and young people from sibling group/s placed with an assessed and approved foster carer/s. This option keeps siblings together when they first enter care. The carer/s will exclusively provide care for children and young people in the Care Hub in a rented property or in their own home. May be a pool of carer households.</w:t>
      </w:r>
      <w:r>
        <w:br/>
      </w:r>
      <w:r>
        <w:rPr>
          <w:rFonts w:ascii="Arial" w:hAnsi="Arial" w:eastAsia="Arial" w:cs="Arial"/>
          <w:color w:val="000000"/>
          <w:sz w:val="20"/>
        </w:rPr>
        <w:t>• Care Hub residential care: Up to four young people placed in short-term residential care. The Care Hub utilises existing four residential care targets funded through activity Residential care 31415. The four targets may be in one house or across houses.</w:t>
      </w:r>
      <w:r>
        <w:br/>
      </w:r>
      <w:r>
        <w:rPr>
          <w:rFonts w:ascii="Arial" w:hAnsi="Arial" w:eastAsia="Arial" w:cs="Arial"/>
          <w:color w:val="000000"/>
          <w:sz w:val="20"/>
        </w:rPr>
        <w:t>Care Hub operations: This includes a multidisciplinary network available across the Care Hub, delivering services and supporting children and young people in the program. The multidisciplinary team will deliver supports to children and young people in the Care Hub placement and children and young people in the outreach component. The multidisciplinary network will engage in assessment and planning for children and young people in the Care Hub. An integrated multidisciplinary assessment and a plan is required for every child and young person in the Care Hub.</w:t>
      </w:r>
      <w:r>
        <w:br/>
      </w:r>
      <w:r>
        <w:rPr>
          <w:rFonts w:ascii="Arial" w:hAnsi="Arial" w:eastAsia="Arial" w:cs="Arial"/>
          <w:color w:val="000000"/>
          <w:sz w:val="20"/>
        </w:rPr>
        <w:t>Care Hub outreach: The multidisciplinary network will deliver place-based supports to the child or young person. The supports are attached to the child or young person rather than geographically based.</w:t>
      </w:r>
      <w:r>
        <w:br/>
      </w:r>
      <w:r>
        <w:rPr>
          <w:rFonts w:ascii="Arial" w:hAnsi="Arial" w:eastAsia="Arial" w:cs="Arial"/>
          <w:color w:val="000000"/>
          <w:sz w:val="20"/>
        </w:rPr>
        <w:t>Care Hub flexible brokerage: Flexible brokerage that can be used flexibly to support the child or young person or the placement.</w:t>
      </w:r>
      <w:r>
        <w:br/>
      </w:r>
      <w:r>
        <w:rPr>
          <w:rFonts w:ascii="Arial" w:hAnsi="Arial" w:eastAsia="Arial" w:cs="Arial"/>
          <w:color w:val="000000"/>
          <w:sz w:val="20"/>
        </w:rPr>
        <w:t>Care Hub on-call allowance: A stand-by allowance provided to foster carers participating in the Care Hub when on-call to accept placements.</w:t>
      </w:r>
      <w:r>
        <w:br/>
      </w:r>
      <w:r>
        <w:rPr>
          <w:rFonts w:ascii="Arial" w:hAnsi="Arial" w:eastAsia="Arial" w:cs="Arial"/>
          <w:color w:val="000000"/>
          <w:sz w:val="20"/>
        </w:rPr>
        <w:t>Sibling house support: Rental support for the sibling placement (foster care).</w:t>
      </w:r>
      <w:r>
        <w:br/>
      </w:r>
      <w:r>
        <w:rPr>
          <w:rFonts w:ascii="Arial" w:hAnsi="Arial" w:eastAsia="Arial" w:cs="Arial"/>
          <w:color w:val="000000"/>
          <w:sz w:val="20"/>
        </w:rPr>
        <w:t xml:space="preserve">Note that foster carers providing the Care Hub placement will receive a level 5 care allowance when a child is placed in their care. The care allowance is administered through the Care Allowance Helpdesk according to current care allowance practice.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this activity is targeted at is children and young people aged 0 to 18 years of which 100 per cent are subject to statutory child protection intervention and are first entrants to care, including those in sibling groups..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Improving safety for children and young people in residential care Overview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Program Requirements for Residential Care Services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&lt;https://providers.dffh.vic.gov.au/program-requirements-residential-care-victoria-oct-2016-word&gt;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Labour Hire Procedures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&lt;https://providers.dffh.vic.gov.au/labour-hire-procedures&gt;&gt;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Minimum Qualification Requirements for Residential Care Workers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&lt;https://providers.dffh.vic.gov.au/minimum-qualification-requirements-residential-care-workers-victoria-word&gt;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Program requirements for Care Hub</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Care allowance policy and procedures: Foster care, kinship care, permanent care and additional needs local adoption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Placement - Daily average occupancy</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monitor the daily average number of children and young people in the Care Hub home-based care complex foster care placement and sibling placement.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average daily occupancy during the reporting period. The daily average occupancy refers to the total delivered placement days in the reporting period, divided by the total number of days within the reporting period.</w:t>
            </w:r>
            <w:r>
              <w:br/>
            </w:r>
            <w:r>
              <w:rPr>
                <w:rFonts w:ascii="Arial" w:hAnsi="Arial" w:eastAsia="Arial" w:cs="Arial"/>
                <w:color w:val="000000"/>
                <w:sz w:val="20"/>
              </w:rPr>
              <w:t>The placement days includes the first day (i.e. the day the child enters placement) and excludes the last day (i.e. the day the child departs from placement).</w:t>
            </w:r>
            <w:r>
              <w:br/>
            </w:r>
            <w:r>
              <w:rPr>
                <w:rFonts w:ascii="Arial" w:hAnsi="Arial" w:eastAsia="Arial" w:cs="Arial"/>
                <w:color w:val="000000"/>
                <w:sz w:val="20"/>
              </w:rPr>
              <w:t>For example:</w:t>
            </w:r>
            <w:r>
              <w:br/>
            </w:r>
            <w:r>
              <w:rPr>
                <w:rFonts w:ascii="Arial" w:hAnsi="Arial" w:eastAsia="Arial" w:cs="Arial"/>
                <w:color w:val="000000"/>
                <w:sz w:val="20"/>
              </w:rPr>
              <w:t>1 child, placed for 29 day = 29 placement days</w:t>
            </w:r>
            <w:r>
              <w:br/>
            </w:r>
            <w:r>
              <w:rPr>
                <w:rFonts w:ascii="Arial" w:hAnsi="Arial" w:eastAsia="Arial" w:cs="Arial"/>
                <w:color w:val="000000"/>
                <w:sz w:val="20"/>
              </w:rPr>
              <w:t>3 children, placed for 31 days = 93 placement days</w:t>
            </w:r>
            <w:r>
              <w:br/>
            </w:r>
            <w:r>
              <w:rPr>
                <w:rFonts w:ascii="Arial" w:hAnsi="Arial" w:eastAsia="Arial" w:cs="Arial"/>
                <w:color w:val="000000"/>
                <w:sz w:val="20"/>
              </w:rPr>
              <w:t>10 children, placed for 28 days = 280 placement days</w:t>
            </w:r>
            <w:r>
              <w:br/>
            </w:r>
            <w:r>
              <w:rPr>
                <w:rFonts w:ascii="Arial" w:hAnsi="Arial" w:eastAsia="Arial" w:cs="Arial"/>
                <w:color w:val="000000"/>
                <w:sz w:val="20"/>
              </w:rPr>
              <w:t>No. of placement days used in June quarter = 402 (29 + 93 + 280)</w:t>
            </w:r>
            <w:r>
              <w:br/>
            </w:r>
            <w:r>
              <w:rPr>
                <w:rFonts w:ascii="Arial" w:hAnsi="Arial" w:eastAsia="Arial" w:cs="Arial"/>
                <w:color w:val="000000"/>
                <w:sz w:val="20"/>
              </w:rPr>
              <w:t>Total days June quarter = 91</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CRISSP</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Daily average number is the equivalent number of clients per day during the reporting period.</w:t>
            </w:r>
            <w:r>
              <w:br/>
            </w:r>
            <w:r>
              <w:rPr>
                <w:rFonts w:ascii="Arial" w:hAnsi="Arial" w:eastAsia="Arial" w:cs="Arial"/>
                <w:color w:val="000000"/>
                <w:sz w:val="20"/>
              </w:rPr>
              <w:t>Approved carers are accredited through a registered community service organisation or Aboriginal Community Controlled Organisation, are registered on the department’s Carer Register, have their details recorded in CRISSP and are in receipt of a carer allowance.</w:t>
            </w:r>
            <w:r>
              <w:br/>
            </w:r>
            <w:r>
              <w:rPr>
                <w:rFonts w:ascii="Arial" w:hAnsi="Arial" w:eastAsia="Arial" w:cs="Arial"/>
                <w:color w:val="000000"/>
                <w:sz w:val="20"/>
              </w:rPr>
              <w:t>Care Hub foster carers will receive a level 5 care allowance when a child is placed in their care in the Care Hub short term foster care placement or sibling placement.</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Amount expended during the reporting period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amount of expenditure during the reporting period. This includes on-call allowance, sibling house support and brokerage represented as an aggregated sum.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amount of funding expended in the reporting period for the on-call allowance, sibling house support and brokerage.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Care Hub funding expenditure record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Expenditure refers to funds spent and not funds approved for spending.</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CRISSP</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Placement and Support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Care Hub funding expenditure record</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31140 Care Hub</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