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Infant Child and Family health and Wellbeing Hubs 28092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olicy-and-funding-guidelines-for-health-services" TargetMode="External"/>
<Relationship Id="rId12" Type="http://schemas.openxmlformats.org/officeDocument/2006/relationships/hyperlink" Target="http://providers.dffh.vic.gov.au/families-fairness-housing-health-activity-search" TargetMode="External"/>
<Relationship Id="rId1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Infant Child and Family health and Wellbeing Hubs</w:t>
            </w:r>
          </w:p>
          <w:p>
            <w:pPr>
              <w:spacing w:line="560" w:lineRule="atLeast"/>
              <w:rPr>
                <w:rFonts w:ascii="Arial" w:hAnsi="Arial" w:eastAsia="Arial" w:cs="Arial"/>
                <w:color w:val="201547"/>
                <w:sz w:val="44"/>
              </w:rPr>
            </w:pPr>
            <w:r>
              <w:rPr>
                <w:rFonts w:ascii="Arial" w:hAnsi="Arial" w:eastAsia="Arial" w:cs="Arial"/>
                <w:color w:val="201547"/>
                <w:sz w:val="44"/>
              </w:rPr>
              <w:t>28092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integrated and community-based multidisciplinary health services and supports for children aged 0-11 and their families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community health services and supports including allied health, specialist medical, intake, care coordination and in-reach supports to children aged 0-11 experiencing developmental, emotional, relational and behavioural challenges and their families. </w:t>
      </w:r>
      <w:r>
        <w:br/>
      </w:r>
      <w:r>
        <w:br/>
      </w:r>
      <w:r>
        <w:rPr>
          <w:rFonts w:ascii="Arial" w:hAnsi="Arial" w:eastAsia="Arial" w:cs="Arial"/>
          <w:color w:val="000000"/>
          <w:sz w:val="20"/>
        </w:rPr>
        <w:t>Multidisciplinary and integrated models of care will allow care to be provided early and for families to be connected with the support they need.</w:t>
      </w:r>
      <w:r>
        <w:br/>
      </w:r>
      <w:r>
        <w:br/>
      </w:r>
      <w:r>
        <w:rPr>
          <w:rFonts w:ascii="Arial" w:hAnsi="Arial" w:eastAsia="Arial" w:cs="Arial"/>
          <w:color w:val="000000"/>
          <w:sz w:val="20"/>
        </w:rPr>
        <w:t>The service also supports local capacity building through service innovation that strengthens interdisciplinary care leading to improved health and wellbeing outcomes for children and their families.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children aged 0–11 years who are experiencing developmental, emotional, relational and behavioural challenges, and their families.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submitted relating to program expenditure and documenting work undertaken to support capacity building within the local service system during the reporting period. The annual report format is required as capacity building activities are not captured in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Children’s Locals Annual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Children’s Locals Annual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October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28092 Infant Child and Family health and Wellbeing Hubs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