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Community Health Language Services 28048</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www.health.vic.gov.au/community-health/community-health-integrated-program-chip-guidelines" TargetMode="External"/>
<Relationship Id="rId12" Type="http://schemas.openxmlformats.org/officeDocument/2006/relationships/hyperlink" Target="https://www2.health.vic.gov.au/primary-and-community-health/community-health/population-groups/refugee-health-program" TargetMode="External"/>
<Relationship Id="rId13" Type="http://schemas.openxmlformats.org/officeDocument/2006/relationships/hyperlink" Target="https://www2.health.vic.gov.au/about/populations/refugee-asylum-seeker-health" TargetMode="External"/>
<Relationship Id="rId14" Type="http://schemas.openxmlformats.org/officeDocument/2006/relationships/hyperlink" Target="https://www.healthtranslations.vic.gov.au" TargetMode="External"/>
<Relationship Id="rId15" Type="http://schemas.openxmlformats.org/officeDocument/2006/relationships/hyperlink" Target="https://www.health.vic.gov.au/publications/language-services-policy" TargetMode="External"/>
<Relationship Id="rId16" Type="http://schemas.openxmlformats.org/officeDocument/2006/relationships/hyperlink" Target="https://www.health.vic.gov.au/policy-and-funding-guidelines-for-health-services" TargetMode="External"/>
<Relationship Id="rId17" Type="http://schemas.openxmlformats.org/officeDocument/2006/relationships/hyperlink" Target="file:/F:/Oracle/Middleware/Oracle_Home/user_projects/domains/bi2/dhlanguageservices@health.vic.gov.au" TargetMode="External"/>
<Relationship Id="rId18" Type="http://schemas.openxmlformats.org/officeDocument/2006/relationships/hyperlink" Target="https://www2.health.vic.gov.au/about/publications/policiesandguidelines/Cultural-responsiveness-framework---Guidelines-for-Victorian-health-services%3e" TargetMode="External"/>
<Relationship Id="rId19" Type="http://schemas.openxmlformats.org/officeDocument/2006/relationships/hyperlink" Target="http://providers.dffh.vic.gov.au/families-fairness-housing-health-activity-search" TargetMode="External"/>
<Relationship Id="rId20"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tabs>
          <w:tab w:val="left" w:pos="1728"/>
        </w:tabs>
        <w:spacing w:before="100" w:line="288" w:lineRule="auto"/>
        <w:ind w:left="-699"/>
        <w:rPr/>
      </w:pPr>
      <w:r>
        <w:rPr>
          <w:noProof/>
        </w:rPr>
        <w:drawing>
          <wp:inline distT="0" distB="0" distL="0" distR="0">
            <wp:extent cx="7562215" cy="14151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62215" cy="1415123"/>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jc w:val="center"/>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Community Health Language Services</w:t>
            </w:r>
          </w:p>
          <w:p>
            <w:pPr>
              <w:spacing w:line="560" w:lineRule="atLeast"/>
              <w:rPr>
                <w:rFonts w:ascii="Arial" w:hAnsi="Arial" w:eastAsia="Arial" w:cs="Arial"/>
                <w:color w:val="201547"/>
                <w:sz w:val="44"/>
              </w:rPr>
            </w:pPr>
            <w:r>
              <w:rPr>
                <w:rFonts w:ascii="Arial" w:hAnsi="Arial" w:eastAsia="Arial" w:cs="Arial"/>
                <w:color w:val="201547"/>
                <w:sz w:val="44"/>
              </w:rPr>
              <w:t>28048</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are healthy and well</w:t>
            </w:r>
          </w:p>
          <w:p>
            <w:pPr>
              <w:spacing w:after="120"/>
              <w:rPr>
                <w:rFonts w:ascii="Arial" w:hAnsi="Arial" w:eastAsia="Arial" w:cs="Arial"/>
                <w:color w:val="201547"/>
                <w:sz w:val="28"/>
              </w:rPr>
            </w:pPr>
            <w:r>
              <w:rPr>
                <w:rFonts w:ascii="Arial" w:hAnsi="Arial" w:eastAsia="Arial" w:cs="Arial"/>
                <w:color w:val="201547"/>
                <w:sz w:val="28"/>
              </w:rPr>
              <w:t>Output group: Primary, Community and Dental Health</w:t>
            </w:r>
          </w:p>
          <w:p>
            <w:pPr>
              <w:spacing w:after="120"/>
              <w:rPr>
                <w:rFonts w:ascii="Arial" w:hAnsi="Arial" w:eastAsia="Arial" w:cs="Arial"/>
                <w:color w:val="201547"/>
                <w:sz w:val="28"/>
              </w:rPr>
            </w:pPr>
            <w:r>
              <w:rPr>
                <w:rFonts w:ascii="Arial" w:hAnsi="Arial" w:eastAsia="Arial" w:cs="Arial"/>
                <w:color w:val="201547"/>
                <w:sz w:val="28"/>
              </w:rPr>
              <w:t>Output: Community Health Care</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To provide access to interpreting and/or translation services for people attending Community Health Program services in Victoria</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 xml:space="preserve">To deliver interpreting and/or translation services to people attending Community Health Program services. </w:t>
      </w:r>
      <w:r>
        <w:br/>
      </w:r>
      <w:r>
        <w:rPr>
          <w:rFonts w:ascii="Arial" w:hAnsi="Arial" w:eastAsia="Arial" w:cs="Arial"/>
          <w:color w:val="000000"/>
          <w:sz w:val="20"/>
        </w:rPr>
        <w:t xml:space="preserve">Services must be provided by credentialled interpreters and translators. </w:t>
      </w:r>
      <w:r>
        <w:br/>
      </w:r>
      <w:r>
        <w:rPr>
          <w:rFonts w:ascii="Arial" w:hAnsi="Arial" w:eastAsia="Arial" w:cs="Arial"/>
          <w:color w:val="000000"/>
          <w:sz w:val="20"/>
        </w:rPr>
        <w:t>Services can be provided face-to-face and/or via telehealth. Services may include verbal language, non-verbal language and languages other than English. This also includes sign language.</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This activity is targeted at people requiring access to interpreting assistance and/or translation services while attending Community Health Program services in Victoria.</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spacing w:after="40" w:line="270" w:lineRule="atLeast"/>
        <w:ind w:left="111" w:right="105"/>
        <w:rPr>
          <w:rFonts w:ascii="Arial" w:hAnsi="Arial" w:eastAsia="Arial" w:cs="Arial"/>
          <w:color w:val="000000"/>
          <w:sz w:val="20"/>
        </w:rPr>
      </w:pPr>
      <w:r>
        <w:rPr>
          <w:rFonts w:ascii="Arial" w:hAnsi="Arial" w:eastAsia="Arial" w:cs="Arial"/>
          <w:color w:val="000000"/>
          <w:sz w:val="20"/>
        </w:rPr>
        <w:t>N/A</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Community Health Integrated Program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&lt;https://www.health.vic.gov.au/community-health/community-health-integrated-program-chip-guidelines&gt;</w:t>
      </w:r>
    </w:p>
    <w:p>
      <w:pPr>
        <w:numPr>
          <w:ilvl w:val="0"/>
          <w:numId w:val="7"/>
        </w:numPr>
        <w:spacing w:after="40" w:line="270" w:lineRule="atLeast"/>
        <w:rPr>
          <w:rFonts w:ascii="Arial" w:hAnsi="Arial" w:eastAsia="Arial" w:cs="Arial"/>
          <w:color w:val="3366FF"/>
          <w:sz w:val="20"/>
        </w:rPr>
      </w:pPr>
      <w:hyperlink r:id="rId12" w:tgtFrame="_blank" w:history="1">
        <w:r>
          <w:rPr>
            <w:rFonts w:ascii="Arial" w:hAnsi="Arial" w:eastAsia="Arial" w:cs="Arial"/>
            <w:color w:val="3366FF"/>
            <w:sz w:val="20"/>
          </w:rPr>
          <w:t>Refugee Health Program</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&lt;https://www2.health.vic.gov.au/primary-and-community-health/community-health/population-groups/refugee-health-program&gt;</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Refugee and asylum seeker health and wellbeing</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&lt;https://www2.health.vic.gov.au/about/populations/refugee-asylum-seeker-health&gt;</w:t>
      </w:r>
    </w:p>
    <w:p>
      <w:pPr>
        <w:numPr>
          <w:ilvl w:val="0"/>
          <w:numId w:val="7"/>
        </w:numPr>
        <w:spacing w:after="40" w:line="270" w:lineRule="atLeast"/>
        <w:rPr>
          <w:rFonts w:ascii="Arial" w:hAnsi="Arial" w:eastAsia="Arial" w:cs="Arial"/>
          <w:color w:val="3366FF"/>
          <w:sz w:val="20"/>
        </w:rPr>
      </w:pPr>
      <w:hyperlink r:id="rId14" w:tgtFrame="_blank" w:history="1">
        <w:r>
          <w:rPr>
            <w:rFonts w:ascii="Arial" w:hAnsi="Arial" w:eastAsia="Arial" w:cs="Arial"/>
            <w:color w:val="3366FF"/>
            <w:sz w:val="20"/>
          </w:rPr>
          <w:t>Health Translations Directory</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&lt;https://www.healthtranslations.vic.gov.au&gt;</w:t>
      </w:r>
    </w:p>
    <w:p>
      <w:pPr>
        <w:numPr>
          <w:ilvl w:val="0"/>
          <w:numId w:val="7"/>
        </w:numPr>
        <w:spacing w:after="40" w:line="270" w:lineRule="atLeast"/>
        <w:rPr>
          <w:rFonts w:ascii="Arial" w:hAnsi="Arial" w:eastAsia="Arial" w:cs="Arial"/>
          <w:color w:val="3366FF"/>
          <w:sz w:val="20"/>
        </w:rPr>
      </w:pPr>
      <w:hyperlink r:id="rId15" w:tgtFrame="_blank" w:history="1">
        <w:r>
          <w:rPr>
            <w:rFonts w:ascii="Arial" w:hAnsi="Arial" w:eastAsia="Arial" w:cs="Arial"/>
            <w:color w:val="3366FF"/>
            <w:sz w:val="20"/>
          </w:rPr>
          <w:t>Language Services Policy</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&lt;https://www.health.vic.gov.au/publications/language-services-policy&gt;</w:t>
      </w:r>
    </w:p>
    <w:p>
      <w:pPr>
        <w:numPr>
          <w:ilvl w:val="0"/>
          <w:numId w:val="7"/>
        </w:numPr>
        <w:spacing w:after="40" w:line="270" w:lineRule="atLeast"/>
        <w:rPr>
          <w:rFonts w:ascii="Arial" w:hAnsi="Arial" w:eastAsia="Arial" w:cs="Arial"/>
          <w:color w:val="3366FF"/>
          <w:sz w:val="20"/>
        </w:rPr>
      </w:pPr>
      <w:hyperlink r:id="rId16" w:tgtFrame="_blank" w:history="1">
        <w:r>
          <w:rPr>
            <w:rFonts w:ascii="Arial" w:hAnsi="Arial" w:eastAsia="Arial" w:cs="Arial"/>
            <w:color w:val="3366FF"/>
            <w:sz w:val="20"/>
          </w:rPr>
          <w:t>Policy and funding guidelines for health services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&lt;https://www.health.vic.gov.au/policy-and-funding-guidelines-for-health-services&gt;</w:t>
      </w:r>
    </w:p>
    <w:p>
      <w:pPr>
        <w:numPr>
          <w:ilvl w:val="0"/>
          <w:numId w:val="7"/>
        </w:numPr>
        <w:spacing w:after="40" w:line="270" w:lineRule="atLeast"/>
        <w:rPr>
          <w:rFonts w:ascii="Arial" w:hAnsi="Arial" w:eastAsia="Arial" w:cs="Arial"/>
          <w:color w:val="3366FF"/>
          <w:sz w:val="20"/>
        </w:rPr>
      </w:pPr>
      <w:hyperlink r:id="rId17" w:tgtFrame="_blank" w:history="1">
        <w:r>
          <w:rPr>
            <w:rFonts w:ascii="Arial" w:hAnsi="Arial" w:eastAsia="Arial" w:cs="Arial"/>
            <w:color w:val="3366FF"/>
            <w:sz w:val="20"/>
          </w:rPr>
          <w:t>Language Services Credit Line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&lt;dhlanguageservices@health.vic.gov.au&gt;</w:t>
      </w:r>
    </w:p>
    <w:p>
      <w:pPr>
        <w:numPr>
          <w:ilvl w:val="0"/>
          <w:numId w:val="7"/>
        </w:numPr>
        <w:spacing w:after="40" w:line="270" w:lineRule="atLeast"/>
        <w:rPr>
          <w:rFonts w:ascii="Arial" w:hAnsi="Arial" w:eastAsia="Arial" w:cs="Arial"/>
          <w:color w:val="3366FF"/>
          <w:sz w:val="20"/>
        </w:rPr>
      </w:pPr>
      <w:hyperlink r:id="rId18" w:tgtFrame="_blank" w:history="1">
        <w:r>
          <w:rPr>
            <w:rFonts w:ascii="Arial" w:hAnsi="Arial" w:eastAsia="Arial" w:cs="Arial"/>
            <w:color w:val="3366FF"/>
            <w:sz w:val="20"/>
          </w:rPr>
          <w:t>Cultural Responsiveness Framework: guidelines for Victorian health services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&lt;https://www2.health.vic.gov.au/about/publications/policiesandguidelines/Cultural-responsiveness-framework---Guidelines-for-Victorian-health-services&gt;&gt;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Number of occasions of service</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2: Submission of reports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reports submitted about language services usage and demand for clients accessing Community Health Program services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targets are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total number of reports submitted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Community Health minimum dataset (CHMDS)</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Community Health Language Services financial acquittal</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Community Health Language Services financial acquittal</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Quarterly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Community Health minimum dataset (CHMDS)</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CHMDS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Community Health Minimum Data Set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Quarterly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3" w:type="dxa"/>
        <w:tblLayout w:type="fixed"/>
        <w:tblCellMar>
          <w:left w:w="0" w:type="dxa"/>
          <w:right w:w="0" w:type="dxa"/>
        </w:tblCellMar>
      </w:tblPr>
      <w:tblGrid>
        <w:gridCol w:w="10312"/>
      </w:tblGrid>
      <w:tr>
        <w:trPr>
          <w:cantSplit/>
        </w:trPr>
        <w:tc>
          <w:tcPr>
            <w:tcW w:w="10312"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To receive this publication in an accessible format, email</w:t>
            </w:r>
            <w:r>
              <w:rPr>
                <w:rFonts w:ascii="Arial" w:hAnsi="Arial" w:eastAsia="Arial" w:cs="Arial"/>
                <w:color w:val="3366FF"/>
                <w:sz w:val="24"/>
              </w:rPr>
              <w:t xml:space="preserve"> 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Authorised and published by the Victorian Government, 1 Treasury Place, Melbourne. © State of Victoria, Department of Health, </w:t>
            </w:r>
            <w:r>
              <w:rPr>
                <w:rFonts w:ascii="Arial" w:hAnsi="Arial" w:eastAsia="Arial" w:cs="Arial"/>
                <w:color w:val="000000"/>
                <w:sz w:val="16"/>
              </w:rPr>
              <w:t>July 2025</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2653-0937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19"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474"/>
    </w:tblGrid>
    <w:tr>
      <w:tc>
        <w:tcPr>
          <w:tcW w:w="3473" w:type="dxa"/>
          <w:shd w:val="clear" w:color="auto" w:fill="FFFFFF"/>
        </w:tcPr>
        <w:p>
          <w:pPr>
            <w:tabs>
              <w:tab w:val="right" w:pos="10314"/>
            </w:tabs>
            <w:spacing w:before="240"/>
            <w:ind w:left="108" w:right="108"/>
            <w:rPr/>
          </w:pPr>
          <w:r>
            <w:rPr>
              <w:noProof/>
            </w:rPr>
            <w:drawing>
              <wp:inline distT="0" distB="0" distL="0" distR="0">
                <wp:extent cx="1666875"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4" w:type="dxa"/>
          <w:shd w:val="clear" w:color="auto" w:fill="FFFFFF"/>
        </w:tcPr>
        <w:p>
          <w:pPr>
            <w:tabs>
              <w:tab w:val="right" w:pos="10314"/>
            </w:tabs>
            <w:spacing w:before="240"/>
            <w:ind w:left="108" w:right="108"/>
            <w:jc w:val="center"/>
            <w:rPr>
              <w:rFonts w:ascii="Arial" w:hAnsi="Arial" w:eastAsia="Arial" w:cs="Arial"/>
              <w:color w:val="000000"/>
              <w:sz w:val="18"/>
            </w:rPr>
          </w:pPr>
          <w:r>
            <w:rPr>
              <w:rFonts w:ascii="Arial" w:hAnsi="Arial" w:eastAsia="Arial" w:cs="Arial"/>
              <w:color w:val="000000"/>
              <w:sz w:val="18"/>
            </w:rPr>
            <w:t xml:space="preserve">             </w:t>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4"/>
    </w:tblGrid>
    <w:tr>
      <w:tc>
        <w:tcPr>
          <w:tcW w:w="3473" w:type="dxa"/>
          <w:shd w:val="clear" w:color="auto" w:fill="FFFFFF"/>
        </w:tcPr>
        <w:p>
          <w:pPr>
            <w:tabs>
              <w:tab w:val="left" w:pos="318"/>
              <w:tab w:val="right" w:pos="10314"/>
            </w:tabs>
            <w:spacing w:before="240"/>
            <w:ind w:left="108" w:right="108"/>
            <w:rPr/>
          </w:pPr>
          <w:r>
            <w:rPr>
              <w:noProof/>
            </w:rPr>
            <w:drawing>
              <wp:inline distT="0" distB="0" distL="0" distR="0">
                <wp:extent cx="1666875"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4" w:type="dxa"/>
          <w:shd w:val="clear" w:color="auto" w:fill="FFFFFF"/>
        </w:tcPr>
        <w:p>
          <w:pPr>
            <w:tabs>
              <w:tab w:val="right" w:pos="10314"/>
            </w:tabs>
            <w:spacing w:before="240"/>
            <w:ind w:left="108" w:right="108"/>
            <w:jc w:val="center"/>
            <w:rPr>
              <w:rFonts w:ascii="Arial" w:hAnsi="Arial" w:eastAsia="Arial" w:cs="Arial"/>
              <w:color w:val="000000"/>
              <w:sz w:val="18"/>
            </w:rPr>
          </w:pPr>
          <w:r>
            <w:rPr>
              <w:rFonts w:ascii="Arial" w:hAnsi="Arial" w:eastAsia="Arial" w:cs="Arial"/>
              <w:color w:val="000000"/>
              <w:sz w:val="18"/>
            </w:rPr>
            <w:t xml:space="preserve">            </w:t>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Primary, Community and Dental Health 28048 Community Health Language Services</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