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Homelessness System Enablers 20084</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aihw.gov.au/about-our-data/our-data-collections/specialist-homelessness-services-collection" TargetMode="External"/>
<Relationship Id="rId12" Type="http://schemas.openxmlformats.org/officeDocument/2006/relationships/hyperlink" Target="https://fac.dffh.vic.gov.au/homelessness-services-guidelines-and-conditions-funding" TargetMode="External"/>
<Relationship Id="rId13" Type="http://schemas.openxmlformats.org/officeDocument/2006/relationships/hyperlink" Target="https://www.dffh.vic.gov.au/publications/victorias-homelessness-and-rough-sleeping-action-plan" TargetMode="External"/>
<Relationship Id="rId14" Type="http://schemas.openxmlformats.org/officeDocument/2006/relationships/hyperlink" Target="https://fac.dhhs.vic.gov.au/victorian-housing-register" TargetMode="External"/>
<Relationship Id="rId15" Type="http://schemas.openxmlformats.org/officeDocument/2006/relationships/hyperlink" Target="https://vahhf.org.au/wp-content/uploads/2023/09/victorian-aboriginal-housing-and-homelessness-framework_complete_26_02_20-2.pdf" TargetMode="External"/>
<Relationship Id="rId16" Type="http://schemas.openxmlformats.org/officeDocument/2006/relationships/hyperlink" Target="https://vahhf.org.au/wp-content/uploads/2023/09/Blueprint.pdf" TargetMode="External"/>
<Relationship Id="rId17" Type="http://schemas.openxmlformats.org/officeDocument/2006/relationships/hyperlink" Target="https://chp.org.au/wp-content/uploads/2022/04/Aboriginal-Homelessness-An-Aboriginal-Cultural-Safety-Framework-for-the-Specialist-Homelessness-Sector-4th-draft-with-hi-res-pic-attribution.pdf" TargetMode="External"/>
<Relationship Id="rId18" Type="http://schemas.openxmlformats.org/officeDocument/2006/relationships/hyperlink" Target="https://fac.dffh.vic.gov.au/sites/default/files/2020-07/11_VHR_Homeless_with_Support_operational_guideline%20June%202020.docx" TargetMode="External"/>
<Relationship Id="rId19" Type="http://schemas.openxmlformats.org/officeDocument/2006/relationships/hyperlink" Target="http://providers.dffh.vic.gov.au/families-fairness-housing-health-activity-search" TargetMode="External"/>
<Relationship Id="rId20"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Homelessness System Enablers</w:t>
            </w:r>
          </w:p>
          <w:p>
            <w:pPr>
              <w:spacing w:line="560" w:lineRule="atLeast"/>
              <w:rPr>
                <w:rFonts w:ascii="Arial" w:hAnsi="Arial" w:eastAsia="Arial" w:cs="Arial"/>
                <w:color w:val="201547"/>
                <w:sz w:val="44"/>
              </w:rPr>
            </w:pPr>
            <w:r>
              <w:rPr>
                <w:rFonts w:ascii="Arial" w:hAnsi="Arial" w:eastAsia="Arial" w:cs="Arial"/>
                <w:color w:val="201547"/>
                <w:sz w:val="44"/>
              </w:rPr>
              <w:t>20084</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Homelessness System Enablers provide a system-wide and/or state-wide approach to improve consultation, planning, policy development, program and service linkages and coordination to organisations responding to people at risk of or experiencing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This activity funds organisations to undertake a system enabling function and may include: </w:t>
      </w:r>
      <w:r>
        <w:br/>
      </w:r>
      <w:r>
        <w:br/>
      </w:r>
      <w:r>
        <w:rPr>
          <w:rFonts w:ascii="Arial" w:hAnsi="Arial" w:eastAsia="Arial" w:cs="Arial"/>
          <w:color w:val="000000"/>
          <w:sz w:val="20"/>
        </w:rPr>
        <w:t xml:space="preserve">•evidence-based strategic advice on government policy and programs, representing sector views </w:t>
      </w:r>
      <w:r>
        <w:br/>
      </w:r>
      <w:r>
        <w:rPr>
          <w:rFonts w:ascii="Arial" w:hAnsi="Arial" w:eastAsia="Arial" w:cs="Arial"/>
          <w:color w:val="000000"/>
          <w:sz w:val="20"/>
        </w:rPr>
        <w:t xml:space="preserve">•systematic advocacy  </w:t>
      </w:r>
      <w:r>
        <w:br/>
      </w:r>
      <w:r>
        <w:rPr>
          <w:rFonts w:ascii="Arial" w:hAnsi="Arial" w:eastAsia="Arial" w:cs="Arial"/>
          <w:color w:val="000000"/>
          <w:sz w:val="20"/>
        </w:rPr>
        <w:t xml:space="preserve">•system stewardship for Aboriginal specific homelessness services </w:t>
      </w:r>
      <w:r>
        <w:br/>
      </w:r>
      <w:r>
        <w:rPr>
          <w:rFonts w:ascii="Arial" w:hAnsi="Arial" w:eastAsia="Arial" w:cs="Arial"/>
          <w:color w:val="000000"/>
          <w:sz w:val="20"/>
        </w:rPr>
        <w:t xml:space="preserve">•lived experience insights </w:t>
      </w:r>
      <w:r>
        <w:br/>
      </w:r>
      <w:r>
        <w:rPr>
          <w:rFonts w:ascii="Arial" w:hAnsi="Arial" w:eastAsia="Arial" w:cs="Arial"/>
          <w:color w:val="000000"/>
          <w:sz w:val="20"/>
        </w:rPr>
        <w:t xml:space="preserve">•work force development, training and/or community education sessions  </w:t>
      </w:r>
      <w:r>
        <w:br/>
      </w:r>
      <w:r>
        <w:rPr>
          <w:rFonts w:ascii="Arial" w:hAnsi="Arial" w:eastAsia="Arial" w:cs="Arial"/>
          <w:color w:val="000000"/>
          <w:sz w:val="20"/>
        </w:rPr>
        <w:t xml:space="preserve">•forums and consultations  </w:t>
      </w:r>
      <w:r>
        <w:br/>
      </w:r>
      <w:r>
        <w:rPr>
          <w:rFonts w:ascii="Arial" w:hAnsi="Arial" w:eastAsia="Arial" w:cs="Arial"/>
          <w:color w:val="000000"/>
          <w:sz w:val="20"/>
        </w:rPr>
        <w:t xml:space="preserve">•discussion papers and/or newsletters  </w:t>
      </w:r>
      <w:r>
        <w:br/>
      </w:r>
      <w:r>
        <w:rPr>
          <w:rFonts w:ascii="Arial" w:hAnsi="Arial" w:eastAsia="Arial" w:cs="Arial"/>
          <w:color w:val="000000"/>
          <w:sz w:val="20"/>
        </w:rPr>
        <w:t xml:space="preserve">•leadership, service integration and planning. </w:t>
      </w:r>
      <w:r>
        <w:br/>
      </w:r>
      <w:r>
        <w:br/>
      </w:r>
      <w:r>
        <w:rPr>
          <w:rFonts w:ascii="Arial" w:hAnsi="Arial" w:eastAsia="Arial" w:cs="Arial"/>
          <w:color w:val="000000"/>
          <w:sz w:val="20"/>
        </w:rPr>
        <w:t xml:space="preserve">Key program components from this activity include: </w:t>
      </w:r>
      <w:r>
        <w:br/>
      </w:r>
      <w:r>
        <w:br/>
      </w:r>
      <w:r>
        <w:rPr>
          <w:rFonts w:ascii="Arial" w:hAnsi="Arial" w:eastAsia="Arial" w:cs="Arial"/>
          <w:color w:val="000000"/>
          <w:sz w:val="20"/>
        </w:rPr>
        <w:t xml:space="preserve">Peak bodies funded to work in partnership with the Department providing strategic advice on government policy and programs, representing sector views, and undertaking systemic advocacy for people experiencing homelessness. Peak bodies and associations also provide leadership, education and training as well as support for the staff, management and volunteers of homelessness organisations. 	 </w:t>
      </w:r>
      <w:r>
        <w:br/>
      </w:r>
      <w:r>
        <w:br/>
      </w:r>
      <w:r>
        <w:rPr>
          <w:rFonts w:ascii="Arial" w:hAnsi="Arial" w:eastAsia="Arial" w:cs="Arial"/>
          <w:color w:val="000000"/>
          <w:sz w:val="20"/>
        </w:rPr>
        <w:t xml:space="preserve">Homelessness networks include the Victorian Homelessness Indigenous Statewide Network and local area based Homelessness Network. These Networks provide an opportunity for all homelessness organisations to come together at the local or state-wide level to improve the homelessness system and responses. Local Area Service Networks (LASNs) support Specialist Homelessness Services to share information and work strategically as a group in local areas to improve outcomes and opportunities for people experiencing homelessness. </w:t>
      </w:r>
      <w:r>
        <w:br/>
      </w:r>
      <w:r>
        <w:br/>
      </w:r>
      <w:r>
        <w:rPr>
          <w:rFonts w:ascii="Arial" w:hAnsi="Arial" w:eastAsia="Arial" w:cs="Arial"/>
          <w:color w:val="000000"/>
          <w:sz w:val="20"/>
        </w:rPr>
        <w:t>Statewide Homelessness Resource Program is delivered by the Statewide Children’s Resource Program Coordinators. This program aims to build the capacity of homelessness practitioners to improve the service response for children in the homelessness sector. The program provides resources, training, information, and secondary consultation to homelessness practitioners.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Organisations and groups funded under this activity include peak bodies, community service organisations, Aboriginal Community Controlled Organisations, lived experience groups and local governments engaging within the homelessness service system.  This is not a client facing activity.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Further information on the 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&lt;https://fac.dhhs.vic.gov.au/victorian-housing-register&gt;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1: Submission of an agreed plan and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To measure the breadth and diversity of work undertaken by organisations through the provision of an agreed project plan and report. Funded organisations are required to submit their project plan by 30 September or no later than three months after the commencement of the period of funding.</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Develop a detailed project plan outlining activities and objectives for the following 12-month period of the project and provide reports as agreed upon for this plan.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Manual Program Plan and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Project plan: The project plan defines the agreed goals and objectives of the funded activity, the scope of the project, its milestones and major deliverables. It will also define agreed reporting requirements to monitor progress against agreed deliverables and outcomes. </w:t>
            </w:r>
            <w:r>
              <w:br/>
            </w:r>
            <w:r>
              <w:br/>
            </w:r>
            <w:r>
              <w:rPr>
                <w:rFonts w:ascii="Arial" w:hAnsi="Arial" w:eastAsia="Arial" w:cs="Arial"/>
                <w:color w:val="000000"/>
                <w:sz w:val="20"/>
              </w:rPr>
              <w:t>Project report: The project report format is agreed upon and will likely summarize the achievements, impact and utilisation of resources for the reporting period.</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Manual Program Plan and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Program Plan and Report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As Required</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2024</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9"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20084 Homelessness System Enablers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