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Case Management and Transitional Housing Management Support 20082</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vahhf.org.au/wp-content/uploads/2023/09/victorian-aboriginal-housing-and-homelessness-framework_complete_26_02_20-2.pdf" TargetMode="External"/>
<Relationship Id="rId16" Type="http://schemas.openxmlformats.org/officeDocument/2006/relationships/hyperlink" Target="https://vahhf.org.au/wp-content/uploads/2023/09/Blueprint.pdf" TargetMode="External"/>
<Relationship Id="rId17" Type="http://schemas.openxmlformats.org/officeDocument/2006/relationships/hyperlink" Target="https://chp.org.au/wp-content/uploads/2022/04/Aboriginal-Homelessness-An-Aboriginal-Cultural-Safety-Framework-for-the-Specialist-Homelessness-Sector-4th-draft-with-hi-res-pic-attribution.pdf" TargetMode="External"/>
<Relationship Id="rId18" Type="http://schemas.openxmlformats.org/officeDocument/2006/relationships/hyperlink" Target="https://fac.dffh.vic.gov.au/sites/default/files/2020-07/11_VHR_Homeless_with_Support_operational_guideline%20June%202020.docx"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Case Management and Transitional Housing Management Support</w:t>
            </w:r>
          </w:p>
          <w:p>
            <w:pPr>
              <w:spacing w:line="560" w:lineRule="atLeast"/>
              <w:rPr>
                <w:rFonts w:ascii="Arial" w:hAnsi="Arial" w:eastAsia="Arial" w:cs="Arial"/>
                <w:color w:val="201547"/>
                <w:sz w:val="44"/>
              </w:rPr>
            </w:pPr>
            <w:r>
              <w:rPr>
                <w:rFonts w:ascii="Arial" w:hAnsi="Arial" w:eastAsia="Arial" w:cs="Arial"/>
                <w:color w:val="201547"/>
                <w:sz w:val="44"/>
              </w:rPr>
              <w:t>20082</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Case Management and Transitional Housing Management (THM) Support aims to achieve long-term housing, employment, education, health, and wellbeing outcomes for people who are experiencing homelessness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Homelessness case management involves a comprehensive approach aimed at assisting people experiencing homelessness to navigate complex systems and address their housing and wellbeing needs. Organisations work closely with people to develop personalised plans to coordinate access to housing, healthcare, wellbeing and therapeutic services. Case management responses may vary in resource type, cohort, intensity and level, with engagement potentially occurring in times of crisis.   </w:t>
      </w:r>
      <w:r>
        <w:br/>
      </w:r>
      <w:r>
        <w:br/>
      </w:r>
      <w:r>
        <w:rPr>
          <w:rFonts w:ascii="Arial" w:hAnsi="Arial" w:eastAsia="Arial" w:cs="Arial"/>
          <w:color w:val="000000"/>
          <w:sz w:val="20"/>
        </w:rPr>
        <w:t xml:space="preserve">Support can also be provided irrespective of a person’s existing living arrangement with case management potentially occurring in, rooming houses, hotels, squats, with people couch surfing and other informal arrangements. Support may include counselling, crisis resolution, personal care, life skills training, information, advocacy and/or assistance with accessing appropriate long-term housing, training and employment opportunities.  </w:t>
      </w:r>
      <w:r>
        <w:br/>
      </w:r>
      <w:r>
        <w:br/>
      </w:r>
      <w:r>
        <w:rPr>
          <w:rFonts w:ascii="Arial" w:hAnsi="Arial" w:eastAsia="Arial" w:cs="Arial"/>
          <w:color w:val="000000"/>
          <w:sz w:val="20"/>
        </w:rPr>
        <w:t>THM support assists individuals and families in housing crisis to establish and/or maintain appropriate, secure, and sustainable housing including assistance to secure long-term housing, through the provision of support, to people in THM properties.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Case Management and Transitional Housing Management Support is people who are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support periods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during the monthly reporting period.  </w:t>
            </w:r>
            <w:r>
              <w:br/>
            </w:r>
            <w:r>
              <w:br/>
            </w:r>
            <w:r>
              <w:rPr>
                <w:rFonts w:ascii="Arial" w:hAnsi="Arial" w:eastAsia="Arial" w:cs="Arial"/>
                <w:color w:val="000000"/>
                <w:sz w:val="20"/>
              </w:rPr>
              <w:t xml:space="preserve">One support period is counted for each client who is supported by your organisation.  </w:t>
            </w:r>
            <w:r>
              <w:br/>
            </w:r>
            <w:r>
              <w:br/>
            </w:r>
            <w:r>
              <w:rPr>
                <w:rFonts w:ascii="Arial" w:hAnsi="Arial" w:eastAsia="Arial" w:cs="Arial"/>
                <w:color w:val="000000"/>
                <w:sz w:val="20"/>
              </w:rPr>
              <w:t xml:space="preserve">If a client’s support period has been closed and presents again this will be counted as a new support period.  </w:t>
            </w:r>
            <w:r>
              <w:br/>
            </w:r>
            <w:r>
              <w:br/>
            </w:r>
            <w:r>
              <w:rPr>
                <w:rFonts w:ascii="Arial" w:hAnsi="Arial" w:eastAsia="Arial" w:cs="Arial"/>
                <w:color w:val="000000"/>
                <w:sz w:val="20"/>
              </w:rPr>
              <w:t xml:space="preserve">Clients are counted once in a support period (noting that a support period may span across several months).   </w:t>
            </w:r>
            <w:r>
              <w:br/>
            </w:r>
            <w:r>
              <w:br/>
            </w:r>
            <w:r>
              <w:rPr>
                <w:rFonts w:ascii="Arial" w:hAnsi="Arial" w:eastAsia="Arial" w:cs="Arial"/>
                <w:color w:val="000000"/>
                <w:sz w:val="20"/>
              </w:rPr>
              <w:t>Clients counted under this performance measure should not be counted under performance measure 2 in the same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is defined as the provision of individual client support by your organisation.  </w:t>
            </w:r>
            <w:r>
              <w:br/>
            </w:r>
            <w:r>
              <w:br/>
            </w:r>
            <w:r>
              <w:rPr>
                <w:rFonts w:ascii="Arial" w:hAnsi="Arial" w:eastAsia="Arial" w:cs="Arial"/>
                <w:color w:val="000000"/>
                <w:sz w:val="20"/>
              </w:rPr>
              <w:t xml:space="preserve">A client is a person who receives a direct service from your organisation. Accompanying children who receive direct services are a client. </w:t>
            </w:r>
            <w:r>
              <w:br/>
            </w:r>
            <w:r>
              <w:br/>
            </w:r>
            <w:r>
              <w:rPr>
                <w:rFonts w:ascii="Arial" w:hAnsi="Arial" w:eastAsia="Arial" w:cs="Arial"/>
                <w:color w:val="000000"/>
                <w:sz w:val="20"/>
              </w:rPr>
              <w:t xml:space="preserve">A support period starts on the day the client first receives support from your organisation.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clients supported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the number of clients receiving long-term support (anticipated to be at least one year in duration) to achieve long-term housing, employment, education, health, and wellbeing outcomes.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clients supported during the reporting period who have an open support period.  </w:t>
            </w:r>
            <w:r>
              <w:br/>
            </w:r>
            <w:r>
              <w:br/>
            </w:r>
            <w:r>
              <w:rPr>
                <w:rFonts w:ascii="Arial" w:hAnsi="Arial" w:eastAsia="Arial" w:cs="Arial"/>
                <w:color w:val="000000"/>
                <w:sz w:val="20"/>
              </w:rPr>
              <w:t>Clients counted under this performance measure should not be counted under performance measure 1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may be an individual aged 16 years and over, or the head of a household of a group of two or more people, whether related by family or other relationship. </w:t>
            </w:r>
            <w:r>
              <w:br/>
            </w:r>
            <w:r>
              <w:br/>
            </w:r>
            <w:r>
              <w:rPr>
                <w:rFonts w:ascii="Arial" w:hAnsi="Arial" w:eastAsia="Arial" w:cs="Arial"/>
                <w:color w:val="000000"/>
                <w:sz w:val="20"/>
              </w:rPr>
              <w:t xml:space="preserve">Support is defined as the provision of client support by your organisation.  </w:t>
            </w:r>
            <w:r>
              <w:br/>
            </w:r>
            <w:r>
              <w:br/>
            </w:r>
            <w:r>
              <w:rPr>
                <w:rFonts w:ascii="Arial" w:hAnsi="Arial" w:eastAsia="Arial" w:cs="Arial"/>
                <w:color w:val="000000"/>
                <w:sz w:val="20"/>
              </w:rPr>
              <w:t xml:space="preserve">An open support period during the reporting period may be a support period that is opened, closed or ongoing during the reporting period. </w:t>
            </w:r>
            <w:r>
              <w:br/>
            </w:r>
            <w:r>
              <w:br/>
            </w:r>
            <w:r>
              <w:rPr>
                <w:rFonts w:ascii="Arial" w:hAnsi="Arial" w:eastAsia="Arial" w:cs="Arial"/>
                <w:color w:val="000000"/>
                <w:sz w:val="20"/>
              </w:rPr>
              <w:t xml:space="preserve">A support period starts on the day the client first receives support from your organisation.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SHSC provided to DHHS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20082 Case Management and Transitional Housing Management Support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