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9A" w:rsidRDefault="003F1E26">
      <w:pPr>
        <w:tabs>
          <w:tab w:val="left" w:pos="1728"/>
        </w:tabs>
        <w:spacing w:before="100" w:line="288" w:lineRule="auto"/>
        <w:ind w:left="-699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A069A">
        <w:tc>
          <w:tcPr>
            <w:tcW w:w="10206" w:type="dxa"/>
            <w:shd w:val="clear" w:color="auto" w:fill="FFFFFF"/>
            <w:vAlign w:val="bottom"/>
          </w:tcPr>
          <w:p w:rsidR="006A069A" w:rsidRDefault="006A069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6A069A" w:rsidRDefault="003F1E26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Screening Tests and Assessments</w:t>
            </w:r>
          </w:p>
          <w:p w:rsidR="006A069A" w:rsidRDefault="003F1E26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16519</w:t>
            </w:r>
          </w:p>
        </w:tc>
      </w:tr>
      <w:tr w:rsidR="006A069A">
        <w:tc>
          <w:tcPr>
            <w:tcW w:w="10206" w:type="dxa"/>
            <w:shd w:val="clear" w:color="auto" w:fill="FFFFFF"/>
          </w:tcPr>
          <w:p w:rsidR="006A069A" w:rsidRDefault="003F1E26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:rsidR="006A069A" w:rsidRDefault="003F1E26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:rsidR="006A069A" w:rsidRDefault="003F1E26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:rsidR="006A069A" w:rsidRDefault="003F1E26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:rsidR="006A069A" w:rsidRDefault="003F1E26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:rsidR="006A069A" w:rsidRDefault="003F1E26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Delivery of population-based screening programs including breast, bowel and </w:t>
      </w:r>
      <w:r>
        <w:rPr>
          <w:rFonts w:ascii="Arial" w:eastAsia="Arial" w:hAnsi="Arial" w:cs="Arial"/>
          <w:color w:val="000000"/>
          <w:sz w:val="20"/>
        </w:rPr>
        <w:t>cervical cancer screening, newborn blood spot and maternal serum screening programs.</w:t>
      </w:r>
    </w:p>
    <w:p w:rsidR="006A069A" w:rsidRDefault="003F1E26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:rsidR="006A069A" w:rsidRDefault="003F1E26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screening tests and assessments to the target population of organised screening programs.</w:t>
      </w:r>
    </w:p>
    <w:p w:rsidR="006A069A" w:rsidRDefault="003F1E26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:rsidR="006A069A" w:rsidRDefault="003F1E26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Eligible Victorians.</w:t>
      </w:r>
    </w:p>
    <w:p w:rsidR="006A069A" w:rsidRDefault="003F1E26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 xml:space="preserve">4. </w:t>
      </w:r>
      <w:r>
        <w:rPr>
          <w:rFonts w:ascii="Arial" w:eastAsia="Arial" w:hAnsi="Arial" w:cs="Arial"/>
          <w:b/>
          <w:bCs/>
          <w:color w:val="201547"/>
          <w:sz w:val="28"/>
        </w:rPr>
        <w:t>Obligations specific to this activity</w:t>
      </w:r>
    </w:p>
    <w:p w:rsidR="006A069A" w:rsidRDefault="003F1E26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:rsidR="006A069A" w:rsidRDefault="003F1E26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:rsidR="006A069A" w:rsidRDefault="003F1E26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6A069A" w:rsidRDefault="003F1E26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</w:t>
      </w:r>
      <w:r>
        <w:rPr>
          <w:rFonts w:ascii="Arial" w:eastAsia="Arial" w:hAnsi="Arial" w:cs="Arial"/>
          <w:b/>
          <w:bCs/>
          <w:color w:val="201547"/>
        </w:rPr>
        <w:t>licy guidelines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NHMRC Screening and Present Cervical Cancer: Guidelines for the management of asymptomatic women with screen detected abnormalities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&lt;http://www.nhmrc.gov.</w:t>
      </w:r>
      <w:r>
        <w:rPr>
          <w:rFonts w:ascii="Arial" w:eastAsia="Arial" w:hAnsi="Arial" w:cs="Arial"/>
          <w:color w:val="000000"/>
          <w:sz w:val="20"/>
        </w:rPr>
        <w:t>au/publications/synopses/wh39syn.htm&gt;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Improving Cancer Outcomes Act 2014 (VIC) – Instrument of Delegation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</w:t>
      </w:r>
      <w:r>
        <w:rPr>
          <w:rFonts w:ascii="Arial" w:eastAsia="Arial" w:hAnsi="Arial" w:cs="Arial"/>
          <w:color w:val="000000"/>
          <w:sz w:val="20"/>
        </w:rPr>
        <w:t>u/in-force/acts/improving-cancer-outcomes-act-2014/002&gt;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National Cancer Screening Register Act 2016 (Cwth)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&lt;https://www.legislation.gov.au/Details/C2019C00147&gt;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National Pathology Accreditation Advisory Council (NPAAC) publications, inc. NPAAC Requirements for Laboratories Reporting Tests for the </w:t>
        </w:r>
        <w:r>
          <w:rPr>
            <w:rFonts w:ascii="Arial" w:eastAsia="Arial" w:hAnsi="Arial" w:cs="Arial"/>
            <w:color w:val="3366FF"/>
            <w:sz w:val="20"/>
          </w:rPr>
          <w:t>National Cervical Screening Program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&lt;https://www1.health.gov.au/internet/main/publishing.nsf/Content/health-npaac-publication.htm&gt;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Newborn Bloodspot Screening polic</w:t>
        </w:r>
        <w:r>
          <w:rPr>
            <w:rFonts w:ascii="Arial" w:eastAsia="Arial" w:hAnsi="Arial" w:cs="Arial"/>
            <w:color w:val="3366FF"/>
            <w:sz w:val="20"/>
          </w:rPr>
          <w:t>ies, frameworks and guidelines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>
          <w:rPr>
            <w:rFonts w:ascii="Arial" w:eastAsia="Arial" w:hAnsi="Arial" w:cs="Arial"/>
            <w:color w:val="3366FF"/>
            <w:sz w:val="20"/>
          </w:rPr>
          <w:t>Improving Cancer Outcomes Act 2014 (VIC)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&lt;https://www.legislation.vic.gov.au/in-force/acts/improving-cance</w:t>
      </w:r>
      <w:r>
        <w:rPr>
          <w:rFonts w:ascii="Arial" w:eastAsia="Arial" w:hAnsi="Arial" w:cs="Arial"/>
          <w:color w:val="000000"/>
          <w:sz w:val="20"/>
        </w:rPr>
        <w:t>r-outcomes-act-2014/002&gt;</w:t>
      </w:r>
    </w:p>
    <w:p w:rsidR="006A069A" w:rsidRDefault="003F1E26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>
          <w:rPr>
            <w:rFonts w:ascii="Arial" w:eastAsia="Arial" w:hAnsi="Arial" w:cs="Arial"/>
            <w:color w:val="3366FF"/>
            <w:sz w:val="20"/>
          </w:rPr>
          <w:t>BreastScreen Australia National Accreditation Standards</w:t>
        </w:r>
      </w:hyperlink>
    </w:p>
    <w:p w:rsidR="006A069A" w:rsidRDefault="003F1E26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&lt;http://www.cancerscreening.gov.au/internet/screening/publ</w:t>
      </w:r>
      <w:r>
        <w:rPr>
          <w:rFonts w:ascii="Arial" w:eastAsia="Arial" w:hAnsi="Arial" w:cs="Arial"/>
          <w:color w:val="000000"/>
          <w:sz w:val="20"/>
        </w:rPr>
        <w:t>ishing.nsf/Content/br-standards&gt;</w:t>
      </w:r>
    </w:p>
    <w:p w:rsidR="006A069A" w:rsidRDefault="006A069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:rsidR="006A069A" w:rsidRDefault="003F1E26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:rsidR="006A069A" w:rsidRDefault="003F1E26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:rsidR="006A069A" w:rsidRDefault="003F1E26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6A069A" w:rsidRDefault="003F1E26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people screened (Victorian</w:t>
      </w:r>
      <w:r>
        <w:rPr>
          <w:rFonts w:ascii="Arial" w:eastAsia="Arial" w:hAnsi="Arial" w:cs="Arial"/>
          <w:b/>
          <w:bCs/>
          <w:color w:val="201547"/>
          <w:sz w:val="20"/>
        </w:rPr>
        <w:t xml:space="preserve"> Clinical Genetics Services)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the performance measure is to count the number of persons participating in the program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Target The performance measure target is provided in of the Service Agreement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Number of Victorians who undertook the required test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Clinical Genetics Services Report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report provided to the department on the number of Victorians screened by Victorian Clinical Ge</w:t>
            </w:r>
            <w:r>
              <w:rPr>
                <w:rFonts w:ascii="Arial" w:eastAsia="Arial" w:hAnsi="Arial" w:cs="Arial"/>
                <w:color w:val="000000"/>
                <w:sz w:val="20"/>
              </w:rPr>
              <w:t>netics Services</w:t>
            </w:r>
          </w:p>
        </w:tc>
      </w:tr>
    </w:tbl>
    <w:p w:rsidR="006A069A" w:rsidRDefault="003F1E26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Percentage of market share (VCS Foundation)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the performance measure is to count the number of cervical screening tests delivered by VCS Foundation and present it as a percentage of the </w:t>
            </w:r>
            <w:r>
              <w:rPr>
                <w:rFonts w:ascii="Arial" w:eastAsia="Arial" w:hAnsi="Arial" w:cs="Arial"/>
                <w:color w:val="000000"/>
                <w:sz w:val="20"/>
              </w:rPr>
              <w:t>Victorian market share.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Number and percentage of all cervical screening tests delivered in Victoria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VCS Foundati</w:t>
            </w:r>
            <w:r>
              <w:rPr>
                <w:rFonts w:ascii="Arial" w:eastAsia="Arial" w:hAnsi="Arial" w:cs="Arial"/>
                <w:color w:val="000000"/>
                <w:sz w:val="20"/>
              </w:rPr>
              <w:t>on Report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number of cervical screening tests delivered by VCS Foundation and present it as a percentage of the Victorian market share.</w:t>
            </w:r>
          </w:p>
        </w:tc>
      </w:tr>
    </w:tbl>
    <w:p w:rsidR="006A069A" w:rsidRDefault="003F1E26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3: Number of clients screened (BreastScreen Victoria)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aim of the performance measure is to count the number of screening tests and assessments provided to the eligible cohort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Target The performance measure target is provided in of the Service Agreement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Counting rule Number of Victorians who undertook the required test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BreastScreen Data Collection</w:t>
            </w:r>
          </w:p>
        </w:tc>
      </w:tr>
      <w:tr w:rsidR="006A069A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Eligible Victorians screened by BreastScreen Victoria</w:t>
            </w:r>
          </w:p>
        </w:tc>
      </w:tr>
    </w:tbl>
    <w:p w:rsidR="006A069A" w:rsidRDefault="003F1E26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:rsidR="006A069A" w:rsidRDefault="003F1E26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reporting requirements for this </w:t>
      </w:r>
      <w:r>
        <w:rPr>
          <w:rFonts w:ascii="Arial" w:eastAsia="Arial" w:hAnsi="Arial" w:cs="Arial"/>
          <w:color w:val="000000"/>
          <w:sz w:val="20"/>
        </w:rPr>
        <w:t>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6A069A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6A069A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BreastScreen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BreastScreen Victoria Register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Document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6A069A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VCS Foundation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VCS Foundation Pathology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Document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6A069A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Victorian Clinical Genetics </w:t>
            </w:r>
            <w:r>
              <w:rPr>
                <w:rFonts w:ascii="Arial" w:eastAsia="Arial" w:hAnsi="Arial" w:cs="Arial"/>
                <w:color w:val="000000"/>
                <w:sz w:val="20"/>
              </w:rPr>
              <w:t>Services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 Clinical Genetics Services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Document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69A" w:rsidRDefault="003F1E26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:rsidR="006A069A" w:rsidRDefault="006A069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A069A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15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2021. </w:t>
            </w:r>
          </w:p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In this document, ‘Aboriginal’ refers to both Aboriginal and Torres Strait Islander people. ‘Indigenous’ or </w:t>
            </w:r>
            <w:r>
              <w:rPr>
                <w:rFonts w:ascii="Arial" w:eastAsia="Arial" w:hAnsi="Arial" w:cs="Arial"/>
                <w:color w:val="000000"/>
                <w:sz w:val="16"/>
              </w:rPr>
              <w:t>‘Koori/Koorie' is retained when part of the title of a report, program or quotation.</w:t>
            </w:r>
          </w:p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:rsidR="006A069A" w:rsidRDefault="003F1E26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6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:rsidR="006A069A" w:rsidRDefault="006A069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1" w:name="page_total_master0"/>
      <w:bookmarkStart w:id="2" w:name="page_total"/>
      <w:bookmarkEnd w:id="1"/>
      <w:bookmarkEnd w:id="2"/>
    </w:p>
    <w:sectPr w:rsidR="006A069A">
      <w:headerReference w:type="default" r:id="rId17"/>
      <w:footerReference w:type="default" r:id="rId18"/>
      <w:headerReference w:type="first" r:id="rId19"/>
      <w:footerReference w:type="first" r:id="rId20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1E26">
      <w:r>
        <w:separator/>
      </w:r>
    </w:p>
  </w:endnote>
  <w:endnote w:type="continuationSeparator" w:id="0">
    <w:p w:rsidR="00000000" w:rsidRDefault="003F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9A" w:rsidRDefault="003F1E26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A069A">
      <w:tc>
        <w:tcPr>
          <w:tcW w:w="3473" w:type="dxa"/>
          <w:shd w:val="clear" w:color="auto" w:fill="FFFFFF"/>
        </w:tcPr>
        <w:p w:rsidR="006A069A" w:rsidRDefault="003F1E26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6A069A" w:rsidRDefault="003F1E26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6A069A" w:rsidRDefault="003F1E26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:rsidR="006A069A" w:rsidRDefault="006A069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A069A">
      <w:tc>
        <w:tcPr>
          <w:tcW w:w="3473" w:type="dxa"/>
          <w:shd w:val="clear" w:color="auto" w:fill="FFFFFF"/>
        </w:tcPr>
        <w:p w:rsidR="006A069A" w:rsidRDefault="003F1E26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6A069A" w:rsidRDefault="003F1E26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6A069A" w:rsidRDefault="003F1E26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:rsidR="006A069A" w:rsidRDefault="006A069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1E26">
      <w:r>
        <w:separator/>
      </w:r>
    </w:p>
  </w:footnote>
  <w:footnote w:type="continuationSeparator" w:id="0">
    <w:p w:rsidR="00000000" w:rsidRDefault="003F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9A" w:rsidRDefault="003F1E26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16519 Screening Tests and Assessments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:rsidR="006A069A" w:rsidRDefault="006A069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9A" w:rsidRDefault="006A069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314"/>
    <w:multiLevelType w:val="hybridMultilevel"/>
    <w:tmpl w:val="DC5C69C4"/>
    <w:lvl w:ilvl="0" w:tplc="DE1A4D7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3B65F5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8C01EF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5CA0ED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F146F8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6AAB8D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8FC8D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42367C4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7BCCA1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4FE01F3"/>
    <w:multiLevelType w:val="hybridMultilevel"/>
    <w:tmpl w:val="F8706F30"/>
    <w:lvl w:ilvl="0" w:tplc="E8BE45D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9A09E0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244CF9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A2AF25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10897B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7B8F40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C6E179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EBE6C2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2D8108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55C24EB"/>
    <w:multiLevelType w:val="hybridMultilevel"/>
    <w:tmpl w:val="1036243E"/>
    <w:lvl w:ilvl="0" w:tplc="E7BCC35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792C2FE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936E6C3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F9167B4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34C61DC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150AA4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4C02525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3D58D9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6E6EE9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11024DC"/>
    <w:multiLevelType w:val="hybridMultilevel"/>
    <w:tmpl w:val="8702EB42"/>
    <w:lvl w:ilvl="0" w:tplc="C334260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936054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34EA20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E683E9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BD8864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C04151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EC2191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F4C642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40262D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79115B4"/>
    <w:multiLevelType w:val="hybridMultilevel"/>
    <w:tmpl w:val="825C8F0C"/>
    <w:lvl w:ilvl="0" w:tplc="3498357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558E7F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99EC37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638D69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C86B52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F4A2D7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F7AA48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DFA4E0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4E48EB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A5D3CEF"/>
    <w:multiLevelType w:val="hybridMultilevel"/>
    <w:tmpl w:val="DF1E1FE0"/>
    <w:lvl w:ilvl="0" w:tplc="3794732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D5EEE2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A5A2BD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3DF696D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CAC1A8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394317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E5AE6A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18434A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BB08A7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76F31F1"/>
    <w:multiLevelType w:val="hybridMultilevel"/>
    <w:tmpl w:val="33965560"/>
    <w:lvl w:ilvl="0" w:tplc="BEDEE5E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574D6D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78CBCD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6289DB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06BC9EA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4FE98A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480117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F214708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86059D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F966DD5"/>
    <w:multiLevelType w:val="hybridMultilevel"/>
    <w:tmpl w:val="BA2EF88E"/>
    <w:lvl w:ilvl="0" w:tplc="F1A00B7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778C01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E10482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23A9C3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534B29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526797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FFAA51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50E5EB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6A0FD5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55282518"/>
    <w:multiLevelType w:val="hybridMultilevel"/>
    <w:tmpl w:val="66926E3A"/>
    <w:lvl w:ilvl="0" w:tplc="1A2C5770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E24BA0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43E350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9ACE45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1C0A7B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090642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104A6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28E553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0DC42D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61E37F49"/>
    <w:multiLevelType w:val="hybridMultilevel"/>
    <w:tmpl w:val="DCC64396"/>
    <w:lvl w:ilvl="0" w:tplc="24FE791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736F01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56D8037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400212F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500424C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0236393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BC92DFEC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154683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57261A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2F93994"/>
    <w:multiLevelType w:val="hybridMultilevel"/>
    <w:tmpl w:val="5D7E38A0"/>
    <w:lvl w:ilvl="0" w:tplc="BDA85B4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2A08F3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0E216B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35609E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E1AEE5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AEC857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1BE47A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F46AFA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C74245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8A13245"/>
    <w:multiLevelType w:val="hybridMultilevel"/>
    <w:tmpl w:val="7C228AAA"/>
    <w:lvl w:ilvl="0" w:tplc="03F416C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C42F1C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D383F8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450995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816304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F24A62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90AA0F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8848DD8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5DC7C7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74A11438"/>
    <w:multiLevelType w:val="hybridMultilevel"/>
    <w:tmpl w:val="A988441E"/>
    <w:lvl w:ilvl="0" w:tplc="8F6A50B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65CC44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868750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6CA8C9C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6CEB10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D86E9C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E48CD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97E9B3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2AE7C4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A45028A"/>
    <w:multiLevelType w:val="hybridMultilevel"/>
    <w:tmpl w:val="2208F98A"/>
    <w:lvl w:ilvl="0" w:tplc="D6CA8A7E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F2C7312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FE886CD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86C0E82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473C1B1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9F047E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A930232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07C8DFB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1F2C254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D84F50"/>
    <w:multiLevelType w:val="hybridMultilevel"/>
    <w:tmpl w:val="031A5C7E"/>
    <w:lvl w:ilvl="0" w:tplc="DFD0C87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21C221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55ACDD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4CABAB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5DE33B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256FC5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CF0275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A1E3E2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51FC886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12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A"/>
    <w:rsid w:val="003F1E26"/>
    <w:rsid w:val="006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43A1D-37E0-4B60-93B1-14FD01C0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rc.gov.au/publications/synopses/wh39syn.htm" TargetMode="External"/><Relationship Id="rId13" Type="http://schemas.openxmlformats.org/officeDocument/2006/relationships/hyperlink" Target="https://www.legislation.vic.gov.au/in-force/acts/improving-cancer-outcomes-act-2014/00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F:/Oracle/Middleware/Oracle_Home/user_projects/domains/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viders.dffh.vic.gov.au/families-fairness-housing-health-activity-searc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health.gov.au/internet/main/publishing.nsf/Content/health-npaac-publicatio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policy@dhhs.vic.gov.au" TargetMode="External"/><Relationship Id="rId10" Type="http://schemas.openxmlformats.org/officeDocument/2006/relationships/hyperlink" Target="https://www.legislation.gov.au/Details/C2019C0014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vic.gov.au/in-force/acts/improving-cancer-outcomes-act-2014/002" TargetMode="External"/><Relationship Id="rId14" Type="http://schemas.openxmlformats.org/officeDocument/2006/relationships/hyperlink" Target="http://www.cancerscreening.gov.au/internet/screening/publishing.nsf/Content/br-standard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4221</Characters>
  <Application>Microsoft Office Word</Application>
  <DocSecurity>0</DocSecurity>
  <Lines>118</Lines>
  <Paragraphs>97</Paragraphs>
  <ScaleCrop>false</ScaleCrop>
  <Company>Victoria State Government, Department of Health, Department of Families, Fairness and Housing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Screening Tests and Assessments 16519</dc:title>
  <dc:subject>service agreement activity descriptions</dc:subject>
  <dc:creator>Service Agreement Policy Unit</dc:creator>
  <cp:keywords>service agreement; activity description; health; families, fairness and housing;</cp:keywords>
  <dc:description>Generated by Oracle BI Publisher 12.2.1.3.0</dc:description>
  <cp:lastModifiedBy>p-rsams-siebelsrvacc</cp:lastModifiedBy>
  <cp:revision>3</cp:revision>
  <dcterms:created xsi:type="dcterms:W3CDTF">2013-02-11T20:57:00Z</dcterms:created>
  <dcterms:modified xsi:type="dcterms:W3CDTF">2021-06-30T16:08:00Z</dcterms:modified>
</cp:coreProperties>
</file>