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Microbial Genomic Services (Whole Genome Sequencing) 16207</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olicy-and-funding-guidelines-for-health-services" TargetMode="External"/>
<Relationship Id="rId12" Type="http://schemas.openxmlformats.org/officeDocument/2006/relationships/hyperlink" Target="https://www.cdc.gov.au/"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Microbial Genomic Services (Whole Genome Sequencing)</w:t>
            </w:r>
          </w:p>
          <w:p>
            <w:pPr>
              <w:spacing w:line="560" w:lineRule="atLeast"/>
              <w:rPr>
                <w:rFonts w:ascii="Arial" w:hAnsi="Arial" w:eastAsia="Arial" w:cs="Arial"/>
                <w:color w:val="201547"/>
                <w:sz w:val="44"/>
              </w:rPr>
            </w:pPr>
            <w:r>
              <w:rPr>
                <w:rFonts w:ascii="Arial" w:hAnsi="Arial" w:eastAsia="Arial" w:cs="Arial"/>
                <w:color w:val="201547"/>
                <w:sz w:val="44"/>
              </w:rPr>
              <w:t>16207</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Public Health</w:t>
            </w:r>
          </w:p>
          <w:p>
            <w:pPr>
              <w:spacing w:after="120"/>
              <w:rPr>
                <w:rFonts w:ascii="Arial" w:hAnsi="Arial" w:eastAsia="Arial" w:cs="Arial"/>
                <w:color w:val="201547"/>
                <w:sz w:val="28"/>
              </w:rPr>
            </w:pPr>
            <w:r>
              <w:rPr>
                <w:rFonts w:ascii="Arial" w:hAnsi="Arial" w:eastAsia="Arial" w:cs="Arial"/>
                <w:color w:val="201547"/>
                <w:sz w:val="28"/>
              </w:rPr>
              <w:t>Output: Health Protection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strengthen and support public health laboratories to deliver pathology services that use microbial genomic sequencing of human pathogens of public health importance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microbial genomic sequencing and analysis (whole genome sequencing – WGS) of human pathogens for identification, characterisation, antimicrobial resistance genotyping, typing, surveillance, and outbreak investigation, to inform treatment decision-making and public health response for Victoria. </w:t>
      </w:r>
      <w:r>
        <w:br/>
      </w:r>
      <w:r>
        <w:rPr>
          <w:rFonts w:ascii="Arial" w:hAnsi="Arial" w:eastAsia="Arial" w:cs="Arial"/>
          <w:color w:val="000000"/>
          <w:sz w:val="20"/>
        </w:rPr>
        <w:t xml:space="preserve">Public health laboratories using microbial genomics technologies for testing isolates for improved communicable disease surveillance and for the control of outbreaks of human pathogens of public health importance in Victoria.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public health laboratories that deliver pathology services for testing of human pathogens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National Microbial Genomics Framework for Public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&lt;https://www.cdc.gov.au/&gt;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tests conudcted - isolates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tests conducted relating to sequencing of isolates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tests conducted related to isolates sequenced by pathogen,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Laboratory tests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Communicable Diseases Network Australia (CDNA) surveillance case definitions.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submitted relating to the pathogen testing that has transitioned or been incorporated to microbial genomic sequencing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Microbial Genomics Service Delivery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CDNA surveillance case definitions.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Laboratory tests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Laboratory Information Management System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Microbial Genomics Service Delivery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August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Public Health 16207 Microbial Genomic Services (Whole Genome Sequencing)</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