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Childrens Health and Wellbeing Locals - Family Services 15374</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olicy-and-funding-guidelines-for-health-services" TargetMode="External"/>
<Relationship Id="rId12" Type="http://schemas.openxmlformats.org/officeDocument/2006/relationships/hyperlink" Target="http://providers.dffh.vic.gov.au/families-fairness-housing-health-activity-search" TargetMode="External"/>
<Relationship Id="rId13"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Childrens Health and Wellbeing Locals - Family Services</w:t>
            </w:r>
          </w:p>
          <w:p>
            <w:pPr>
              <w:spacing w:line="560" w:lineRule="atLeast"/>
              <w:rPr>
                <w:rFonts w:ascii="Arial" w:hAnsi="Arial" w:eastAsia="Arial" w:cs="Arial"/>
                <w:color w:val="201547"/>
                <w:sz w:val="44"/>
              </w:rPr>
            </w:pPr>
            <w:r>
              <w:rPr>
                <w:rFonts w:ascii="Arial" w:hAnsi="Arial" w:eastAsia="Arial" w:cs="Arial"/>
                <w:color w:val="201547"/>
                <w:sz w:val="44"/>
              </w:rPr>
              <w:t>15374</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Mental Health</w:t>
            </w:r>
          </w:p>
          <w:p>
            <w:pPr>
              <w:spacing w:after="120"/>
              <w:rPr>
                <w:rFonts w:ascii="Arial" w:hAnsi="Arial" w:eastAsia="Arial" w:cs="Arial"/>
                <w:color w:val="201547"/>
                <w:sz w:val="28"/>
              </w:rPr>
            </w:pPr>
            <w:r>
              <w:rPr>
                <w:rFonts w:ascii="Arial" w:hAnsi="Arial" w:eastAsia="Arial" w:cs="Arial"/>
                <w:color w:val="201547"/>
                <w:sz w:val="28"/>
              </w:rPr>
              <w:t>Output: Clinical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integrated and community-based multidisciplinary health services and supports for children aged 0-11 and their families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integrated and community-based multidisciplinary health services and supports for children aged 0-11 and their families in Victoria.</w:t>
      </w:r>
      <w:r>
        <w:br/>
      </w:r>
      <w:r>
        <w:br/>
      </w:r>
      <w:r>
        <w:rPr>
          <w:rFonts w:ascii="Arial" w:hAnsi="Arial" w:eastAsia="Arial" w:cs="Arial"/>
          <w:color w:val="000000"/>
          <w:sz w:val="20"/>
        </w:rPr>
        <w:t xml:space="preserve">The service will deliver child and family supports through a developmental lens and with a focus on early intervention. Multidisciplinary and integrated models of care will allow care to be provided early and for families to be connected with the support they need.  </w:t>
      </w:r>
      <w:r>
        <w:br/>
      </w:r>
      <w:r>
        <w:br/>
      </w:r>
      <w:r>
        <w:rPr>
          <w:rFonts w:ascii="Arial" w:hAnsi="Arial" w:eastAsia="Arial" w:cs="Arial"/>
          <w:color w:val="000000"/>
          <w:sz w:val="20"/>
        </w:rPr>
        <w:t>The brokerage component of the service delivery will support clients across the whole program with access to financial resources to enable them to access additional services and other supports as required.</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children aged 0–11 years who are experiencing developmental, emotional, relational and behavioural challenges, and their families. Family support programs are targeted to the parents and carers of those children.</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delivered for child and family support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Direct time and Indirect time spent related to hours of service delivered to clients or groups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Direct time is the time spent in activities directly servicing the registered client, potential client or a family member/significant other of a client e.g. face-to-face, email, video link, telephone communication.</w:t>
            </w:r>
            <w:r>
              <w:br/>
            </w:r>
            <w:r>
              <w:br/>
            </w:r>
            <w:r>
              <w:rPr>
                <w:rFonts w:ascii="Arial" w:hAnsi="Arial" w:eastAsia="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Submission of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reports relating to brokerage supports provided to families to meet the recommended treatments or interventions for their health and wellbeing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reports submitted during the reporting period. Calculate the annual amount of program funding that has been expended during the reporting period using the acquittal template in the reporting framework and include this template in the annual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Children’s Locals Annual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Children’s Locals Annual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October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Mental Health 15374 Childrens Health and Wellbeing Locals - Family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