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Childrens Health and Wellbeing Locals Mental Health 15373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olicy-and-funding-guidelines-for-health-services" TargetMode="External"/>
<Relationship Id="rId12" Type="http://schemas.openxmlformats.org/officeDocument/2006/relationships/hyperlink" Target="http://providers.dffh.vic.gov.au/families-fairness-housing-health-activity-search" TargetMode="External"/>
<Relationship Id="rId1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Childrens Health and Wellbeing Locals Mental Health</w:t>
            </w:r>
          </w:p>
          <w:p>
            <w:pPr>
              <w:spacing w:line="560" w:lineRule="atLeast"/>
              <w:rPr>
                <w:rFonts w:ascii="Arial" w:hAnsi="Arial" w:eastAsia="Arial" w:cs="Arial"/>
                <w:color w:val="201547"/>
                <w:sz w:val="44"/>
              </w:rPr>
            </w:pPr>
            <w:r>
              <w:rPr>
                <w:rFonts w:ascii="Arial" w:hAnsi="Arial" w:eastAsia="Arial" w:cs="Arial"/>
                <w:color w:val="201547"/>
                <w:sz w:val="44"/>
              </w:rPr>
              <w:t>15373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Mental Health</w:t>
            </w:r>
          </w:p>
          <w:p>
            <w:pPr>
              <w:spacing w:after="120"/>
              <w:rPr>
                <w:rFonts w:ascii="Arial" w:hAnsi="Arial" w:eastAsia="Arial" w:cs="Arial"/>
                <w:color w:val="201547"/>
                <w:sz w:val="28"/>
              </w:rPr>
            </w:pPr>
            <w:r>
              <w:rPr>
                <w:rFonts w:ascii="Arial" w:hAnsi="Arial" w:eastAsia="Arial" w:cs="Arial"/>
                <w:color w:val="201547"/>
                <w:sz w:val="28"/>
              </w:rPr>
              <w:t>Output: Clinical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integrated and community-based multidisciplinary health services and supports for children aged 0-11 and their families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community-based health services and supports including allied health, specialist medical, intake, care coordination and in-reach supports to children aged 0-11 experiencing developmental, emotional, relational and behavioural challenges and their families. </w:t>
      </w:r>
      <w:r>
        <w:br/>
      </w:r>
      <w:r>
        <w:br/>
      </w:r>
      <w:r>
        <w:rPr>
          <w:rFonts w:ascii="Arial" w:hAnsi="Arial" w:eastAsia="Arial" w:cs="Arial"/>
          <w:color w:val="000000"/>
          <w:sz w:val="20"/>
        </w:rPr>
        <w:t xml:space="preserve">The service will deliver mental health and wellbeing supports through a developmental lens and with a focus on early intervention. Multidisciplinary and integrated models of care will allow care to be provided early and for families to be connected with the support they need.  </w:t>
      </w:r>
      <w:r>
        <w:br/>
      </w:r>
      <w:r>
        <w:br/>
      </w:r>
      <w:r>
        <w:rPr>
          <w:rFonts w:ascii="Arial" w:hAnsi="Arial" w:eastAsia="Arial" w:cs="Arial"/>
          <w:color w:val="000000"/>
          <w:sz w:val="20"/>
        </w:rPr>
        <w:t xml:space="preserve">The group parenting component of mental health and wellbeing supports enables participants across the  program to increase their skills and confidence to identify and support emerging mental health and wellbeing challenges in their children. It will also support participants to effectively parent challenging behaviour in their children.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children aged 0–11 years who are experiencing developmental, emotional, relational and behavioural challenges, and their families.</w:t>
      </w:r>
      <w:r>
        <w:br/>
      </w:r>
      <w:r>
        <w:br/>
      </w:r>
      <w:r>
        <w:rPr>
          <w:rFonts w:ascii="Arial" w:hAnsi="Arial" w:eastAsia="Arial" w:cs="Arial"/>
          <w:color w:val="000000"/>
          <w:sz w:val="20"/>
        </w:rPr>
        <w:t>Group parenting programs are targeted to the parents and carers of those children.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of both general mental health and wellbeing supports, and group parenting supports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hours of service - group parenting</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related to group parenting supports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Count the Direct time and Indirect time spent related to hours of service delivered to groups of parents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submitted relating to supports provided to clients, to meet the recommended treatments or interventions for their health and wellbeing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Children’s Locals Annual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Children’s Locals Annual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October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Mental Health 15373 Childrens Health and Wellbeing Locals Mental Health</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