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Mental Health and Wellbeing Locals - Local Services 15372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mental-health-wellbeing-locals-service-framework" TargetMode="External"/>
<Relationship Id="rId12" Type="http://schemas.openxmlformats.org/officeDocument/2006/relationships/hyperlink" Target="https://www.health.vic.gov.au/policy-and-funding-guidelines-for-health-services" TargetMode="External"/>
<Relationship Id="rId13" Type="http://schemas.openxmlformats.org/officeDocument/2006/relationships/hyperlink" Target="http://providers.dffh.vic.gov.au/families-fairness-housing-health-activity-search" TargetMode="External"/>
<Relationship Id="rId1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Mental Health and Wellbeing Locals - Local Services</w:t>
            </w:r>
          </w:p>
          <w:p>
            <w:pPr>
              <w:spacing w:line="560" w:lineRule="atLeast"/>
              <w:rPr>
                <w:rFonts w:ascii="Arial" w:hAnsi="Arial" w:eastAsia="Arial" w:cs="Arial"/>
                <w:color w:val="201547"/>
                <w:sz w:val="44"/>
              </w:rPr>
            </w:pPr>
            <w:r>
              <w:rPr>
                <w:rFonts w:ascii="Arial" w:hAnsi="Arial" w:eastAsia="Arial" w:cs="Arial"/>
                <w:color w:val="201547"/>
                <w:sz w:val="44"/>
              </w:rPr>
              <w:t>15372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Mental Health</w:t>
            </w:r>
          </w:p>
          <w:p>
            <w:pPr>
              <w:spacing w:after="120"/>
              <w:rPr>
                <w:rFonts w:ascii="Arial" w:hAnsi="Arial" w:eastAsia="Arial" w:cs="Arial"/>
                <w:color w:val="201547"/>
                <w:sz w:val="28"/>
              </w:rPr>
            </w:pPr>
            <w:r>
              <w:rPr>
                <w:rFonts w:ascii="Arial" w:hAnsi="Arial" w:eastAsia="Arial" w:cs="Arial"/>
                <w:color w:val="201547"/>
                <w:sz w:val="28"/>
              </w:rPr>
              <w:t>Output: Clinical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Mental Health and Wellbeing Locals (Local Services) provide access to integrated treatment, care and support to people who are experiencing a mental ill-health or psychological distress in Victoria. </w:t>
      </w:r>
      <w:r>
        <w:br/>
      </w:r>
      <w:r>
        <w:br/>
      </w:r>
      <w:r>
        <w:rPr>
          <w:rFonts w:ascii="Arial" w:hAnsi="Arial" w:eastAsia="Arial" w:cs="Arial"/>
          <w:color w:val="000000"/>
          <w:sz w:val="20"/>
        </w:rPr>
        <w:t>Local Services Hubs are linked to Local Services Spokes. It is acknowledged that service delivery approaches may vary between Hubs and Spokes, including differences in scale, structure and resourcing.</w:t>
      </w:r>
      <w:r>
        <w:br/>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Local Services support people experiencing mental ill-health or psychological distress, including people with co-occurring substance use and/or dependence, requiring moderate to high intensity care.</w:t>
      </w:r>
      <w:r>
        <w:br/>
      </w:r>
      <w:r>
        <w:br/>
      </w:r>
      <w:r>
        <w:rPr>
          <w:rFonts w:ascii="Arial" w:hAnsi="Arial" w:eastAsia="Arial" w:cs="Arial"/>
          <w:color w:val="000000"/>
          <w:sz w:val="20"/>
        </w:rPr>
        <w:t>Local Services deliver four core service components including:</w:t>
      </w:r>
      <w:r>
        <w:br/>
      </w:r>
      <w:r>
        <w:rPr>
          <w:rFonts w:ascii="Arial" w:hAnsi="Arial" w:eastAsia="Arial" w:cs="Arial"/>
          <w:color w:val="000000"/>
          <w:sz w:val="20"/>
        </w:rPr>
        <w:t>- Treatments and therapies</w:t>
      </w:r>
      <w:r>
        <w:br/>
      </w:r>
      <w:r>
        <w:rPr>
          <w:rFonts w:ascii="Arial" w:hAnsi="Arial" w:eastAsia="Arial" w:cs="Arial"/>
          <w:color w:val="000000"/>
          <w:sz w:val="20"/>
        </w:rPr>
        <w:t>- Education, peer support and self-help</w:t>
      </w:r>
      <w:r>
        <w:br/>
      </w:r>
      <w:r>
        <w:rPr>
          <w:rFonts w:ascii="Arial" w:hAnsi="Arial" w:eastAsia="Arial" w:cs="Arial"/>
          <w:color w:val="000000"/>
          <w:sz w:val="20"/>
        </w:rPr>
        <w:t>- Wellbeing supports</w:t>
      </w:r>
      <w:r>
        <w:br/>
      </w:r>
      <w:r>
        <w:rPr>
          <w:rFonts w:ascii="Arial" w:hAnsi="Arial" w:eastAsia="Arial" w:cs="Arial"/>
          <w:color w:val="000000"/>
          <w:sz w:val="20"/>
        </w:rPr>
        <w:t>- Care planning and coordination.</w:t>
      </w:r>
      <w:r>
        <w:br/>
      </w:r>
      <w:r>
        <w:br/>
      </w:r>
      <w:r>
        <w:rPr>
          <w:rFonts w:ascii="Arial" w:hAnsi="Arial" w:eastAsia="Arial" w:cs="Arial"/>
          <w:color w:val="000000"/>
          <w:sz w:val="20"/>
        </w:rPr>
        <w:t xml:space="preserve">Local Services are required to provide services from Monday to Friday, 9.00 am to 5.00 pm, with extended operating hours on weekends and after-hours support (52 weeks a year, including public holidays). Services are expected to be open for walk-ins on weekdays at a minimum.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26 years and over experiencing mental ill-health or psychological distress, including people with co-occurring substance use and/or dependence, requiring moderate to high intensity care.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Mental Health and Wellbeing Locals - Service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&lt;https://www.health.vic.gov.au/publications/mental-health-wellbeing-locals-service-framework&gt;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Hours of Service delivered (Community Clinical)</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is to monitor the number of community clinical hours delivered by the Local Service to registered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community clinical hours delivered to registered clients during reporting period. </w:t>
            </w:r>
            <w:r>
              <w:br/>
            </w:r>
            <w:r>
              <w:br/>
            </w:r>
            <w:r>
              <w:rPr>
                <w:rFonts w:ascii="Arial" w:hAnsi="Arial" w:eastAsia="Arial" w:cs="Arial"/>
                <w:color w:val="000000"/>
                <w:sz w:val="20"/>
              </w:rPr>
              <w:t>An hour of service is defined as an hour of service or part thereof delivered to a registered client during the reporting period.</w:t>
            </w:r>
            <w:r>
              <w:br/>
            </w:r>
            <w:r>
              <w:br/>
            </w:r>
            <w:r>
              <w:rPr>
                <w:rFonts w:ascii="Arial" w:hAnsi="Arial" w:eastAsia="Arial" w:cs="Arial"/>
                <w:color w:val="000000"/>
                <w:sz w:val="20"/>
              </w:rPr>
              <w:t>An hour of service includes activity related to the provision of client facing and non-client facing activities.</w:t>
            </w:r>
            <w:r>
              <w:br/>
            </w:r>
            <w:r>
              <w:br/>
            </w:r>
            <w:r>
              <w:rPr>
                <w:rFonts w:ascii="Arial" w:hAnsi="Arial" w:eastAsia="Arial" w:cs="Arial"/>
                <w:color w:val="000000"/>
                <w:sz w:val="20"/>
              </w:rPr>
              <w:t>If community clinical hours are provided to a family member, carer and/or supporter of a registered client, count them as a client for the purposes of this reporting and record the community clinical hours delivered.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This performance measure relates to total number of community clinical hours delivered by the Local Service to registered clients during the reporting period. </w:t>
            </w:r>
            <w:r>
              <w:br/>
            </w:r>
            <w:r>
              <w:br/>
            </w:r>
            <w:r>
              <w:rPr>
                <w:rFonts w:ascii="Arial" w:hAnsi="Arial" w:eastAsia="Arial" w:cs="Arial"/>
                <w:color w:val="000000"/>
                <w:sz w:val="20"/>
              </w:rPr>
              <w:t>A registered client is defined as a person in receipt of treatment, care and/or support from Local Service during the reporting period. A registered client has a Statistical Linkage Key and an open case file/open episode during the reporting period.</w:t>
            </w:r>
            <w:r>
              <w:br/>
            </w:r>
            <w:r>
              <w:br/>
            </w:r>
            <w:r>
              <w:rPr>
                <w:rFonts w:ascii="Arial" w:hAnsi="Arial" w:eastAsia="Arial" w:cs="Arial"/>
                <w:color w:val="000000"/>
                <w:sz w:val="20"/>
              </w:rPr>
              <w:t xml:space="preserve">Non-registered clients cannot be counted in this reporting measure. Non-Registered clients are defined as individuals who received one-off support or information from the Local Service i.e. they do not have a Statistical Linkage Key and an open case file/open episode during the reporting period.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is to monitor the total number of new registered clients that received treatment, care and/or support from the Local Service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registered new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Cumulative count of new registered clients only.  </w:t>
            </w:r>
            <w:r>
              <w:br/>
            </w:r>
            <w:r>
              <w:br/>
            </w:r>
            <w:r>
              <w:rPr>
                <w:rFonts w:ascii="Arial" w:hAnsi="Arial" w:eastAsia="Arial" w:cs="Arial"/>
                <w:color w:val="000000"/>
                <w:sz w:val="20"/>
              </w:rPr>
              <w:t>A client is defined as a person in receipt of treatment, care and/or support from the Local Service during the reporting period. This includes clients in shared care arrangements.</w:t>
            </w:r>
            <w:r>
              <w:br/>
            </w:r>
            <w:r>
              <w:br/>
            </w:r>
            <w:r>
              <w:rPr>
                <w:rFonts w:ascii="Arial" w:hAnsi="Arial" w:eastAsia="Arial" w:cs="Arial"/>
                <w:color w:val="000000"/>
                <w:sz w:val="20"/>
              </w:rPr>
              <w:t>A new registered client is defined as a person who:</w:t>
            </w:r>
            <w:r>
              <w:br/>
            </w:r>
            <w:r>
              <w:rPr>
                <w:rFonts w:ascii="Arial" w:hAnsi="Arial" w:eastAsia="Arial" w:cs="Arial"/>
                <w:color w:val="000000"/>
                <w:sz w:val="20"/>
              </w:rPr>
              <w:t>•	Is receiving support under this activity from the service provider for the first time in the reporting period, or</w:t>
            </w:r>
            <w:r>
              <w:br/>
            </w:r>
            <w:r>
              <w:rPr>
                <w:rFonts w:ascii="Arial" w:hAnsi="Arial" w:eastAsia="Arial" w:cs="Arial"/>
                <w:color w:val="000000"/>
                <w:sz w:val="20"/>
              </w:rPr>
              <w:t>•	Has previously received services under this activity from the service provider and the previous case was closed over three months ago and no support has been provided since. The client is counted as a new client in the first reporting period (three or more months after provision of last service) during which the client recommences receiving services.</w:t>
            </w:r>
            <w:r>
              <w:br/>
            </w:r>
            <w:r>
              <w:br/>
            </w:r>
            <w:r>
              <w:rPr>
                <w:rFonts w:ascii="Arial" w:hAnsi="Arial" w:eastAsia="Arial" w:cs="Arial"/>
                <w:color w:val="000000"/>
                <w:sz w:val="20"/>
              </w:rPr>
              <w:t>A registered client is defined as a person in receipt of treatment, care and/or support from the Local Service during the reporting period. A registered client has a Statistical Linkage Key and an open case file/open episode during the reporting period.</w:t>
            </w:r>
            <w:r>
              <w:br/>
            </w:r>
            <w:r>
              <w:br/>
            </w:r>
            <w:r>
              <w:rPr>
                <w:rFonts w:ascii="Arial" w:hAnsi="Arial" w:eastAsia="Arial" w:cs="Arial"/>
                <w:color w:val="000000"/>
                <w:sz w:val="20"/>
              </w:rPr>
              <w:t>Non-registered clients cannot be counted in this reporting measure. Non-Registered Clients are defined as individuals who received one-off support or information from the Local Service i.e. they did not have a Statistical Linkage Key and an open case file/open episode during the reporting period.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Hours of Service delivered (Community Non-Clinical)</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community (non-clinical) wellbeing hours (Client Support Units) delivered by the Local Service to registered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community (non-clinical) wellbeing hours (Client Support Units) delivered to registered clients during the reporting period.</w:t>
            </w:r>
            <w:r>
              <w:br/>
            </w:r>
            <w:r>
              <w:br/>
            </w:r>
            <w:r>
              <w:rPr>
                <w:rFonts w:ascii="Arial" w:hAnsi="Arial" w:eastAsia="Arial" w:cs="Arial"/>
                <w:color w:val="000000"/>
                <w:sz w:val="20"/>
              </w:rPr>
              <w:t>An hour of service is defined as an hour of service or part thereof delivered to a registered client during the reporting period.</w:t>
            </w:r>
            <w:r>
              <w:br/>
            </w:r>
            <w:r>
              <w:br/>
            </w:r>
            <w:r>
              <w:rPr>
                <w:rFonts w:ascii="Arial" w:hAnsi="Arial" w:eastAsia="Arial" w:cs="Arial"/>
                <w:color w:val="000000"/>
                <w:sz w:val="20"/>
              </w:rPr>
              <w:t>An hour of service includes activity related to the provision of client facing and non-client facing activities.</w:t>
            </w:r>
            <w:r>
              <w:br/>
            </w:r>
            <w:r>
              <w:br/>
            </w:r>
            <w:r>
              <w:rPr>
                <w:rFonts w:ascii="Arial" w:hAnsi="Arial" w:eastAsia="Arial" w:cs="Arial"/>
                <w:color w:val="000000"/>
                <w:sz w:val="20"/>
              </w:rPr>
              <w:t>Count all Client Support Units used to deliver wellbeing supports, peer supports, care planning and/or care coordination support to registered clients.</w:t>
            </w:r>
            <w:r>
              <w:br/>
            </w:r>
            <w:r>
              <w:br/>
            </w:r>
            <w:r>
              <w:rPr>
                <w:rFonts w:ascii="Arial" w:hAnsi="Arial" w:eastAsia="Arial" w:cs="Arial"/>
                <w:color w:val="000000"/>
                <w:sz w:val="20"/>
              </w:rPr>
              <w:t>If wellbeing supports, peer supports, care planning and/or care coordination are provided to a family member, carer and/or supporter of a Registered Client, count them as a client for the purposes of this reporting and record the number of Client Support Units delivered.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item relates to the total number of (non-clinical) wellbeing hours (Client Support Units) delivered by the Local Service to registered clients.</w:t>
            </w:r>
            <w:r>
              <w:br/>
            </w:r>
            <w:r>
              <w:br/>
            </w:r>
            <w:r>
              <w:rPr>
                <w:rFonts w:ascii="Arial" w:hAnsi="Arial" w:eastAsia="Arial" w:cs="Arial"/>
                <w:color w:val="000000"/>
                <w:sz w:val="20"/>
              </w:rPr>
              <w:t xml:space="preserve">A Client Support Unit is a standard, single-price unit based on the average, efficient total cost of providing one hour of client related mental health community support. </w:t>
            </w:r>
            <w:r>
              <w:br/>
            </w:r>
            <w:r>
              <w:br/>
            </w:r>
            <w:r>
              <w:rPr>
                <w:rFonts w:ascii="Arial" w:hAnsi="Arial" w:eastAsia="Arial" w:cs="Arial"/>
                <w:color w:val="000000"/>
                <w:sz w:val="20"/>
              </w:rPr>
              <w:t>Client Support Units cover activity related to the provision of client facing and non-client facing activities including wellbeing supports; care planning and care coordination (including supported referral); peer supports (for both clients and family, carers and supporters).</w:t>
            </w:r>
            <w:r>
              <w:br/>
            </w:r>
            <w:r>
              <w:br/>
            </w:r>
            <w:r>
              <w:rPr>
                <w:rFonts w:ascii="Arial" w:hAnsi="Arial" w:eastAsia="Arial" w:cs="Arial"/>
                <w:color w:val="000000"/>
                <w:sz w:val="20"/>
              </w:rPr>
              <w:t>A registered client is defined as a person in receipt of treatment, care and/or support from the Local Service during the reporting period. A registered client has a Statistical Linkage Key and an open case file/open episode during the reporting period.</w:t>
            </w:r>
            <w:r>
              <w:br/>
            </w:r>
            <w:r>
              <w:br/>
            </w:r>
            <w:r>
              <w:rPr>
                <w:rFonts w:ascii="Arial" w:hAnsi="Arial" w:eastAsia="Arial" w:cs="Arial"/>
                <w:color w:val="000000"/>
                <w:sz w:val="20"/>
              </w:rPr>
              <w:t>Non-registered clients cannot be counted in this reporting measure. Non-Registered Clients are defined as individuals who received one-off support or information from the Local Service i.e. they did not have a Statistical Linkage Key and an open case file/open episode during the reporting period.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HealthCollect Portal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HealthCollect Portal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April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Mental Health 15372 Mental Health and Wellbeing Locals - Local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