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Gambling Harm Prevention and Response - Client Facing 15052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health.vic.gov.au/publications/gamblers-help-program-guidelines" TargetMode="External"/>
<Relationship Id="rId12" Type="http://schemas.openxmlformats.org/officeDocument/2006/relationships/hyperlink" Target="http://providers.dffh.vic.gov.au/families-fairness-housing-health-activity-search" TargetMode="External"/>
<Relationship Id="rId13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Gambling Harm Prevention and Response - Client Facing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15052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healthy and well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Mental Health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Mental Health Community Support Services (MCSS)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prevent, reduce and treat gambling harm in the Victorian community.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To deliver prevention, early intervention, treatment and support services for all Victorians at risk of, or experiencing, harm from gambling.  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The core service components include: 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    Treatments and supports 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    Education, peer support and self-help 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    Population wide education  </w:t>
      </w:r>
      <w:r>
        <w:br/>
      </w:r>
      <w:r>
        <w:rPr>
          <w:rFonts w:ascii="Arial" w:hAnsi="Arial" w:eastAsia="Arial" w:cs="Arial"/>
          <w:color w:val="000000"/>
          <w:sz w:val="20"/>
        </w:rPr>
        <w:t>•     Integrated system across the continuum of programs and services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This activity is targeted at people at risk of, or experiencing, gambling related harm, from their own or someone else’s gambling.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Gambler’s Help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&lt;https://www.health.vic.gov.au/publications/gamblers-help-program-guidelines&gt;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service hours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direct and indirect, Therapeutic and Financial counselling services hours delivered by Local Gambler’s Help Services to clients.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total number of service hours.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Gambler’s Help Local Program Performance Data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Local Gambler's Help agencies refers to those agencies providing services across Victoria.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Service hours means direct time spent with clients, and indirect time spent by counsellors on client work, preparing reports, travel time and service promotion time.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Gambler's Help Therapeutic counselling includes specialist, evidence-based support appropriate for individuals and affected others, such as families, experiencing gambling harm. Counselling may be delivered one-on-one, within families and/or in groups. Gambler's Help Financial counselling aims to stabilise and improve financial loss, instability or crisis experienced by individuals and their families in relation to gambling.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2: Number of responses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proportion of Gambler’s Help Service clients who receive a service response within five business days of referral.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percentage of Gambler’s Help Service who have received a service response within five business days of referral.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Gambler’s Help Local Program Performance Data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Local Gambler’s Help agencies provide services across Victoria by catchment.  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Service response refers to the time between the initial referral recorded in GH Connect to a contact or attempted contact made by the local Gambler’s Help worker to the potential client.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Performance measure 3: Submission of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submit the Community Engagement Annual Plan and Community Engagement Bi-annual Progress Reports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plans and reports submitted in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Community Engagement Bi-annual Progress Report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Community Engagement Plan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Annual Plan details community engagement activities as aligned with the objectives of the community engagement Program outlined in the Gambler’s Help Program Guidelines.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Gambler’s Help Local Program Performance Data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GH Connect Case Mgt System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Aggregate service data collection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Community Engagement Bi-annual Progress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Half-yearly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Additional Program Reports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As Required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Community Engagement Plan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Annual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2024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2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Mental Health 15052 Gambling Harm Prevention and Response - Client Facing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